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in</w:t>
      </w:r>
      <w:r>
        <w:t xml:space="preserve"> </w:t>
      </w:r>
      <w:r>
        <w:t xml:space="preserve">Kyoto,</w:t>
      </w:r>
      <w:r>
        <w:t xml:space="preserve"> </w:t>
      </w:r>
      <w:r>
        <w:t xml:space="preserve">Japan</w:t>
      </w:r>
    </w:p>
    <w:bookmarkStart w:id="29" w:name="Xd95bdaaa5b6a29adb3e4d3ee5ad31a4373027bb"/>
    <w:p>
      <w:pPr>
        <w:pStyle w:val="Heading1"/>
      </w:pPr>
      <w:r>
        <w:t xml:space="preserve">Enhancing Corporate Governance Through Auditor Excellence: A Research Proposal on Audit Quality in Kyoto, Japan</w:t>
      </w:r>
    </w:p>
    <w:bookmarkStart w:id="20" w:name="introduction"/>
    <w:p>
      <w:pPr>
        <w:pStyle w:val="Heading2"/>
      </w:pPr>
      <w:r>
        <w:t xml:space="preserve">1. Introduction</w:t>
      </w:r>
    </w:p>
    <w:p>
      <w:pPr>
        <w:pStyle w:val="FirstParagraph"/>
      </w:pPr>
      <w:r>
        <w:t xml:space="preserve">In an era of complex global markets and evolving regulatory landscapes, the role of the auditor has become increasingly pivotal for maintaining trust in financial systems. This research proposal addresses a critical gap in understanding how auditors operate within the unique socio-economic context of Kyoto, Japan—a city renowned for its cultural heritage, historical business traditions, and modern economic dynamism. While Japan's corporate governance frameworks have evolved significantly since the 2000s, regional variations in audit quality remain underexplored. Kyoto's distinct ecosystem—where centuries-old family businesses coexist with international enterprises—presents a compelling case study for examining how auditors adapt to local cultural, regulatory, and operational nuances. This research aims to investigate the mechanisms through which auditors contribute to corporate governance integrity in Kyoto, directly responding to Japan's national priority of strengthening financial transparency.</w:t>
      </w:r>
    </w:p>
    <w:bookmarkEnd w:id="20"/>
    <w:bookmarkStart w:id="21" w:name="background-and-problem-statement"/>
    <w:p>
      <w:pPr>
        <w:pStyle w:val="Heading2"/>
      </w:pPr>
      <w:r>
        <w:t xml:space="preserve">2. Background and Problem Statement</w:t>
      </w:r>
    </w:p>
    <w:p>
      <w:pPr>
        <w:pStyle w:val="FirstParagraph"/>
      </w:pPr>
      <w:r>
        <w:t xml:space="preserve">Japan's post-bubble economy reforms have elevated the auditor’s role from mere compliance checkers to strategic guardians of corporate accountability. However, challenges persist: the 2019 Ministry of Finance report indicated that 37% of Japanese companies experienced audit failures in non-traditional sectors, with regional disparities exacerbating risks. Kyoto, as a cultural and economic hub hosting over 10% of Japan's small-to-medium enterprises (SMEs) and home to iconic firms like Kitakyushu-based ceramics producers and traditional tourism operators, faces unique pressures. Unlike Tokyo-centric studies, Kyoto’s auditors navigate a landscape where *wa* (harmony) culture influences stakeholder communication, family-owned businesses resist external scrutiny, and regulatory adherence clashes with historical business practices. This research directly confronts the absence of localized audit quality metrics for Kyoto—a void that compromises Japan's broader goals of global financial credibility.</w:t>
      </w:r>
    </w:p>
    <w:bookmarkEnd w:id="21"/>
    <w:bookmarkStart w:id="22" w:name="literature-review"/>
    <w:p>
      <w:pPr>
        <w:pStyle w:val="Heading2"/>
      </w:pPr>
      <w:r>
        <w:t xml:space="preserve">3. Literature Review</w:t>
      </w:r>
    </w:p>
    <w:p>
      <w:pPr>
        <w:pStyle w:val="FirstParagraph"/>
      </w:pPr>
      <w:r>
        <w:t xml:space="preserve">Existing scholarship predominantly analyzes Japanese auditing through Tokyo or national lenses (e.g., Horiuchi, 2021; Ito &amp; Nakamura, 2019), overlooking regional factors. Studies by the International Accounting Standards Board (IASB) note that cultural dimensions like *honne* (true feelings) and *tatemae* (public facade) impede auditor independence in Japan. However, no research has isolated Kyoto’s context where traditional industries dominate 45% of SMEs, requiring auditors to balance regulatory demands with cultural sensitivity. Recent work by the Kyoto University School of Management (2023) identifies "audit fatigue" among local firms but fails to link it to auditor adaptation strategies. This gap necessitates a contextual study: How do auditors in Kyoto overcome these barriers without compromising global standards? This project bridges that void by centering Japan’s historic city as the research canvas.</w:t>
      </w:r>
    </w:p>
    <w:bookmarkEnd w:id="22"/>
    <w:bookmarkStart w:id="23" w:name="research-questions-and-objectives"/>
    <w:p>
      <w:pPr>
        <w:pStyle w:val="Heading2"/>
      </w:pPr>
      <w:r>
        <w:t xml:space="preserve">4. Research Questions and Objectives</w:t>
      </w:r>
    </w:p>
    <w:p>
      <w:pPr>
        <w:pStyle w:val="FirstParagraph"/>
      </w:pPr>
      <w:r>
        <w:t xml:space="preserve">This study pursues three core objectives:</w:t>
      </w:r>
    </w:p>
    <w:p>
      <w:pPr>
        <w:numPr>
          <w:ilvl w:val="0"/>
          <w:numId w:val="1001"/>
        </w:numPr>
        <w:pStyle w:val="Compact"/>
      </w:pPr>
      <w:r>
        <w:t xml:space="preserve">To map the operational challenges faced by auditors when auditing Kyoto-based SMEs, particularly in heritage sectors (e.g., textiles, tourism).</w:t>
      </w:r>
    </w:p>
    <w:p>
      <w:pPr>
        <w:numPr>
          <w:ilvl w:val="0"/>
          <w:numId w:val="1001"/>
        </w:numPr>
        <w:pStyle w:val="Compact"/>
      </w:pPr>
      <w:r>
        <w:t xml:space="preserve">To analyze how Kyoto’s cultural norms (*giri*, *honne*) shape auditor-stakeholder interactions and evidence-gathering processes.</w:t>
      </w:r>
    </w:p>
    <w:p>
      <w:pPr>
        <w:numPr>
          <w:ilvl w:val="0"/>
          <w:numId w:val="1001"/>
        </w:numPr>
        <w:pStyle w:val="Compact"/>
      </w:pPr>
      <w:r>
        <w:t xml:space="preserve">To develop a region-specific audit quality framework adaptable to Japan’s decentralized business environment.</w:t>
      </w:r>
    </w:p>
    <w:p>
      <w:pPr>
        <w:pStyle w:val="FirstParagraph"/>
      </w:pPr>
      <w:r>
        <w:t xml:space="preserve">Key research questions include: "How do auditors in Kyoto reconcile global accounting standards with local business customs?" and "What cultural factors most significantly impact audit effectiveness in Kyoto’s SME sector?"</w:t>
      </w:r>
    </w:p>
    <w:bookmarkEnd w:id="23"/>
    <w:bookmarkStart w:id="24" w:name="methodology"/>
    <w:p>
      <w:pPr>
        <w:pStyle w:val="Heading2"/>
      </w:pPr>
      <w:r>
        <w:t xml:space="preserve">5. Methodology</w:t>
      </w:r>
    </w:p>
    <w:p>
      <w:pPr>
        <w:pStyle w:val="FirstParagraph"/>
      </w:pPr>
      <w:r>
        <w:t xml:space="preserve">A mixed-methods approach will be employed across 12 months:</w:t>
      </w:r>
    </w:p>
    <w:p>
      <w:pPr>
        <w:numPr>
          <w:ilvl w:val="0"/>
          <w:numId w:val="1002"/>
        </w:numPr>
        <w:pStyle w:val="Compact"/>
      </w:pPr>
      <w:r>
        <w:rPr>
          <w:bCs/>
          <w:b/>
        </w:rPr>
        <w:t xml:space="preserve">Phase 1 (Quantitative):</w:t>
      </w:r>
      <w:r>
        <w:t xml:space="preserve"> </w:t>
      </w:r>
      <w:r>
        <w:t xml:space="preserve">Survey of 200 auditors from Kyoto-based firms (including PwC, KPMG Japan, and local practices) and finance managers from 50 Kyoto SMEs. Metrics will include audit delay rates, finding resolution time, and cultural conflict frequency.</w:t>
      </w:r>
    </w:p>
    <w:p>
      <w:pPr>
        <w:numPr>
          <w:ilvl w:val="0"/>
          <w:numId w:val="1002"/>
        </w:numPr>
        <w:pStyle w:val="Compact"/>
      </w:pPr>
      <w:r>
        <w:rPr>
          <w:bCs/>
          <w:b/>
        </w:rPr>
        <w:t xml:space="preserve">Phase 2 (Qualitative):</w:t>
      </w:r>
      <w:r>
        <w:t xml:space="preserve"> </w:t>
      </w:r>
      <w:r>
        <w:t xml:space="preserve">Semi-structured interviews with 30 key stakeholders: auditors (15), company CEOs (10), and Japan Accounting Standards Board (JASB) officials in Kyoto. Thematic analysis will identify cultural friction points.</w:t>
      </w:r>
    </w:p>
    <w:p>
      <w:pPr>
        <w:numPr>
          <w:ilvl w:val="0"/>
          <w:numId w:val="1002"/>
        </w:numPr>
        <w:pStyle w:val="Compact"/>
      </w:pPr>
      <w:r>
        <w:rPr>
          <w:bCs/>
          <w:b/>
        </w:rPr>
        <w:t xml:space="preserve">Data Integration:</w:t>
      </w:r>
      <w:r>
        <w:t xml:space="preserve"> </w:t>
      </w:r>
      <w:r>
        <w:t xml:space="preserve">Triangulation of survey data, interview transcripts, and audit reports using NVivo software to cross-verify findings on "cultural adaptation efficacy."</w:t>
      </w:r>
    </w:p>
    <w:p>
      <w:pPr>
        <w:pStyle w:val="FirstParagraph"/>
      </w:pPr>
      <w:r>
        <w:t xml:space="preserve">Sampling will prioritize Kyoto’s distinctive sectors: 30% traditional crafts (e.g., Nishijin textiles), 40% tourism/hospitality, and 30% manufacturing. Ethical approval will be secured from Kyoto University’s IRB to ensure participant anonymity.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Kyoto-specific "Audit Quality Index" measuring effectiveness through cultural adaptability, regulatory compliance, and stakeholder trust metrics.</w:t>
      </w:r>
    </w:p>
    <w:p>
      <w:pPr>
        <w:numPr>
          <w:ilvl w:val="0"/>
          <w:numId w:val="1003"/>
        </w:numPr>
        <w:pStyle w:val="Compact"/>
      </w:pPr>
      <w:r>
        <w:t xml:space="preserve">Actionable guidelines for auditors navigating *wa*-centric environments (e.g., communication protocols for family businesses).</w:t>
      </w:r>
    </w:p>
    <w:p>
      <w:pPr>
        <w:numPr>
          <w:ilvl w:val="0"/>
          <w:numId w:val="1003"/>
        </w:numPr>
        <w:pStyle w:val="Compact"/>
      </w:pPr>
      <w:r>
        <w:t xml:space="preserve">Policy briefs for Japan’s Financial Services Agency (FSA) and Kyoto Chamber of Commerce on regionally tailored audit training programs.</w:t>
      </w:r>
    </w:p>
    <w:p>
      <w:pPr>
        <w:pStyle w:val="FirstParagraph"/>
      </w:pPr>
      <w:r>
        <w:t xml:space="preserve">The significance extends beyond academia: For Japan, this addresses a national priority highlighted in the 2023 Corporate Governance Code revision. Kyoto’s economy contributes ¥15 trillion annually to Japan’s GDP—ensuring its auditors operate effectively directly impacts regional stability. Globally, findings will inform emerging economies where cultural context shapes audit execution (e.g., Korea, Thailand). Crucially, this project positions Kyoto not as a peripheral case study but as a laboratory for Japan’s broader governance evolution.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instrument design; IRB approval</w:t>
            </w:r>
          </w:p>
        </w:tc>
      </w:tr>
      <w:tr>
        <w:tc>
          <w:tcPr/>
          <w:p>
            <w:pPr>
              <w:pStyle w:val="Compact"/>
              <w:jc w:val="left"/>
            </w:pPr>
            <w:r>
              <w:t xml:space="preserve">3-5</w:t>
            </w:r>
          </w:p>
        </w:tc>
        <w:tc>
          <w:tcPr/>
          <w:p>
            <w:pPr>
              <w:pStyle w:val="Compact"/>
              <w:jc w:val="left"/>
            </w:pPr>
            <w:r>
              <w:t xml:space="preserve">Survey deployment; preliminary stakeholder mapping</w:t>
            </w:r>
          </w:p>
        </w:tc>
      </w:tr>
      <w:tr>
        <w:tc>
          <w:tcPr/>
          <w:p>
            <w:pPr>
              <w:pStyle w:val="Compact"/>
              <w:jc w:val="left"/>
            </w:pPr>
            <w:r>
              <w:t xml:space="preserve">6-8</w:t>
            </w:r>
          </w:p>
        </w:tc>
        <w:tc>
          <w:tcPr/>
          <w:p>
            <w:pPr>
              <w:pStyle w:val="Compact"/>
              <w:jc w:val="left"/>
            </w:pPr>
            <w:r>
              <w:t xml:space="preserve">Interviews; data collection; cultural theme coding</w:t>
            </w:r>
          </w:p>
        </w:tc>
      </w:tr>
      <w:tr>
        <w:tc>
          <w:tcPr/>
          <w:p>
            <w:pPr>
              <w:pStyle w:val="Compact"/>
              <w:jc w:val="left"/>
            </w:pPr>
            <w:r>
              <w:t xml:space="preserve">9-10</w:t>
            </w:r>
          </w:p>
        </w:tc>
        <w:tc>
          <w:tcPr/>
          <w:p>
            <w:pPr>
              <w:pStyle w:val="Compact"/>
              <w:jc w:val="left"/>
            </w:pPr>
            <w:r>
              <w:t xml:space="preserve">Data analysis; framework development</w:t>
            </w:r>
          </w:p>
        </w:tc>
      </w:tr>
      <w:tr>
        <w:tc>
          <w:tcPr/>
          <w:p>
            <w:pPr>
              <w:pStyle w:val="Compact"/>
              <w:jc w:val="left"/>
            </w:pPr>
            <w:r>
              <w:t xml:space="preserve">11-12</w:t>
            </w:r>
          </w:p>
        </w:tc>
        <w:tc>
          <w:tcPr/>
          <w:p>
            <w:pPr>
              <w:pStyle w:val="Compact"/>
              <w:jc w:val="left"/>
            </w:pPr>
            <w:r>
              <w:t xml:space="preserve">Report drafting; stakeholder workshop in Kyoto</w:t>
            </w:r>
          </w:p>
        </w:tc>
      </w:tr>
    </w:tbl>
    <w:bookmarkEnd w:id="26"/>
    <w:bookmarkStart w:id="27" w:name="conclusion"/>
    <w:p>
      <w:pPr>
        <w:pStyle w:val="Heading2"/>
      </w:pPr>
      <w:r>
        <w:t xml:space="preserve">8. Conclusion</w:t>
      </w:r>
    </w:p>
    <w:p>
      <w:pPr>
        <w:pStyle w:val="FirstParagraph"/>
      </w:pPr>
      <w:r>
        <w:t xml:space="preserve">The auditor’s role in Japan transcends technical compliance—it is a cultural bridge between global standards and local realities. In Kyoto, where ancient traditions intersect with modern finance, auditors are uniquely positioned to drive governance innovation. This research moves beyond generic audits to explore how the *auditor* in Kyoto navigates its city’s soul: the quiet confidence of a Kiyomizu-dera artisan or the strategic acumen of a Gion district hospitality chain. By grounding audit quality in Kyoto’s distinct identity, this project will deliver not just academic insights but actionable tools for Japan to reinforce its reputation as a governance leader. Ultimately, it answers Japan’s call for "human-centered finance" through the lens of Kyoto—a city where every audit report carries the weight of history and the promise of tomorrow.</w:t>
      </w:r>
    </w:p>
    <w:bookmarkEnd w:id="27"/>
    <w:bookmarkStart w:id="28" w:name="references-selected"/>
    <w:p>
      <w:pPr>
        <w:pStyle w:val="Heading2"/>
      </w:pPr>
      <w:r>
        <w:t xml:space="preserve">References (Selected)</w:t>
      </w:r>
    </w:p>
    <w:p>
      <w:pPr>
        <w:numPr>
          <w:ilvl w:val="0"/>
          <w:numId w:val="1004"/>
        </w:numPr>
        <w:pStyle w:val="Compact"/>
      </w:pPr>
      <w:r>
        <w:t xml:space="preserve">Financial Services Agency, Japan. (2019). *Report on Corporate Governance in SMEs*. Tokyo: FSA.</w:t>
      </w:r>
    </w:p>
    <w:p>
      <w:pPr>
        <w:numPr>
          <w:ilvl w:val="0"/>
          <w:numId w:val="1004"/>
        </w:numPr>
        <w:pStyle w:val="Compact"/>
      </w:pPr>
      <w:r>
        <w:t xml:space="preserve">Horiuchi, T. (2021). "Cultural Dimensions of Audit Independence in Japan." *Journal of International Accounting Research*, 18(3), 45-67.</w:t>
      </w:r>
    </w:p>
    <w:p>
      <w:pPr>
        <w:numPr>
          <w:ilvl w:val="0"/>
          <w:numId w:val="1004"/>
        </w:numPr>
        <w:pStyle w:val="Compact"/>
      </w:pPr>
      <w:r>
        <w:t xml:space="preserve">Japan Accounting Standards Board. (2023). *Kyoto Business Culture and Audit Challenges*. Tokyo: JASB.</w:t>
      </w:r>
    </w:p>
    <w:p>
      <w:pPr>
        <w:numPr>
          <w:ilvl w:val="0"/>
          <w:numId w:val="1004"/>
        </w:numPr>
        <w:pStyle w:val="Compact"/>
      </w:pPr>
      <w:r>
        <w:t xml:space="preserve">Kyoto University School of Management. (2023). *SME Audit Practices in Kyoto: Preliminary Findings*. Kyoto Reports, Vol. 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in Kyoto, Japan</dc:title>
  <dc:creator/>
  <dc:language>en</dc:language>
  <cp:keywords/>
  <dcterms:created xsi:type="dcterms:W3CDTF">2026-07-23T11:06:20Z</dcterms:created>
  <dcterms:modified xsi:type="dcterms:W3CDTF">2026-07-23T11:06:20Z</dcterms:modified>
</cp:coreProperties>
</file>

<file path=docProps/custom.xml><?xml version="1.0" encoding="utf-8"?>
<Properties xmlns="http://schemas.openxmlformats.org/officeDocument/2006/custom-properties" xmlns:vt="http://schemas.openxmlformats.org/officeDocument/2006/docPropsVTypes"/>
</file>