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Business</w:t>
      </w:r>
      <w:r>
        <w:t xml:space="preserve"> </w:t>
      </w:r>
      <w:r>
        <w:t xml:space="preserve">Ecosystem</w:t>
      </w:r>
    </w:p>
    <w:bookmarkStart w:id="30" w:name="Xdd1ac425d717a0815354777d4932f53ed05204a"/>
    <w:p>
      <w:pPr>
        <w:pStyle w:val="Heading1"/>
      </w:pPr>
      <w:r>
        <w:t xml:space="preserve">Research Proposal: Enhancing Auditor Effectiveness in Japan Osaka's Evolving Business Ecosystem</w:t>
      </w:r>
    </w:p>
    <w:bookmarkStart w:id="20" w:name="abstract"/>
    <w:p>
      <w:pPr>
        <w:pStyle w:val="Heading2"/>
      </w:pPr>
      <w:r>
        <w:t xml:space="preserve">Abstract</w:t>
      </w:r>
    </w:p>
    <w:p>
      <w:pPr>
        <w:pStyle w:val="FirstParagraph"/>
      </w:pPr>
      <w:r>
        <w:t xml:space="preserve">This Research Proposal examines the critical role of the Auditor within Japan's complex financial regulatory landscape, with specific focus on Osaka Prefecture. As Japan's second-largest economic hub and a global center for manufacturing, trade, and innovation, Osaka presents unique challenges and opportunities for Auditor practices. This study aims to investigate how modern Audit methodologies can be optimized to address emerging risks in Osaka-based SMEs and multinational corporations operating within the Kansai region. The research directly contributes to strengthening financial transparency, regulatory compliance, and investor confidence in Japan's economic heartland.</w:t>
      </w:r>
    </w:p>
    <w:bookmarkEnd w:id="20"/>
    <w:bookmarkStart w:id="21" w:name="X964aab5943e31b08a844dc03431f69e14bdeb55"/>
    <w:p>
      <w:pPr>
        <w:pStyle w:val="Heading2"/>
      </w:pPr>
      <w:r>
        <w:t xml:space="preserve">1. Introduction: The Imperative of Auditor Excellence in Japan Osaka</w:t>
      </w:r>
    </w:p>
    <w:p>
      <w:pPr>
        <w:pStyle w:val="FirstParagraph"/>
      </w:pPr>
      <w:r>
        <w:t xml:space="preserve">Japan Osaka stands as a pivotal economic engine within the nation, hosting over 50% of Japan's manufacturing headquarters and serving as a major logistics gateway to Asia. In this dynamic environment, the role of the Auditor transcends mere compliance; it becomes fundamental to sustaining trust in capital markets and supporting Osaka's reputation as a global business destination. However, contemporary pressures—including rapid digital transformation, complex supply chains, evolving international financial reporting standards (IFRS), and stringent regulatory oversight by Japan's Financial Services Agency (FSA) and Japan Accounting Standards Board (JASB)—demand a reevaluation of traditional Auditor approaches. This Research Proposal establishes the critical need for context-specific audit strategies tailored to Osaka's unique business ecosystem.</w:t>
      </w:r>
    </w:p>
    <w:bookmarkEnd w:id="21"/>
    <w:bookmarkStart w:id="22" w:name="X8efa13ddf3574e644d25d573b3916197a08b7b2"/>
    <w:p>
      <w:pPr>
        <w:pStyle w:val="Heading2"/>
      </w:pPr>
      <w:r>
        <w:t xml:space="preserve">2. Background: The Osaka Context and Audit Challenges</w:t>
      </w:r>
    </w:p>
    <w:p>
      <w:pPr>
        <w:pStyle w:val="FirstParagraph"/>
      </w:pPr>
      <w:r>
        <w:t xml:space="preserve">Osaka's economic fabric is characterized by a dense concentration of mid-sized enterprises (SMEs) in sectors like electronics, pharmaceuticals, automotive components, food processing, and advanced services. These SMEs often operate under resource constraints while navigating increasing complexity in financial reporting and anti-corruption regulations. Simultaneously, multinational corporations (MNCs) headquartered or operating significant subsidiaries in Osaka face dual-reporting pressures: adherence to Japanese Generally Accepted Accounting Principles (J-GAAP) and global standards. The Auditor, as the independent gatekeeper of financial truth, must effectively navigate this duality. Current challenges include:</w:t>
      </w:r>
    </w:p>
    <w:p>
      <w:pPr>
        <w:numPr>
          <w:ilvl w:val="0"/>
          <w:numId w:val="1001"/>
        </w:numPr>
        <w:pStyle w:val="Compact"/>
      </w:pPr>
      <w:r>
        <w:t xml:space="preserve">Interpreting nuanced J-GAAP provisions within Osaka's industry-specific contexts.</w:t>
      </w:r>
    </w:p>
    <w:p>
      <w:pPr>
        <w:numPr>
          <w:ilvl w:val="0"/>
          <w:numId w:val="1001"/>
        </w:numPr>
        <w:pStyle w:val="Compact"/>
      </w:pPr>
      <w:r>
        <w:t xml:space="preserve">Assessing ESG (Environmental, Social, Governance) risks prevalent in Osaka's manufacturing supply chains.</w:t>
      </w:r>
    </w:p>
    <w:p>
      <w:pPr>
        <w:numPr>
          <w:ilvl w:val="0"/>
          <w:numId w:val="1001"/>
        </w:numPr>
        <w:pStyle w:val="Compact"/>
      </w:pPr>
      <w:r>
        <w:t xml:space="preserve">Overcoming language and cultural barriers for foreign-owned firms operating in Osaka.</w:t>
      </w:r>
    </w:p>
    <w:p>
      <w:pPr>
        <w:numPr>
          <w:ilvl w:val="0"/>
          <w:numId w:val="1001"/>
        </w:numPr>
        <w:pStyle w:val="Compact"/>
      </w:pPr>
      <w:r>
        <w:t xml:space="preserve">Maintaining audit quality amid rising demand for efficiency without compromising independence.</w:t>
      </w:r>
    </w:p>
    <w:bookmarkEnd w:id="22"/>
    <w:bookmarkStart w:id="23" w:name="problem-statement"/>
    <w:p>
      <w:pPr>
        <w:pStyle w:val="Heading2"/>
      </w:pPr>
      <w:r>
        <w:t xml:space="preserve">3. Problem Statement</w:t>
      </w:r>
    </w:p>
    <w:p>
      <w:pPr>
        <w:pStyle w:val="FirstParagraph"/>
      </w:pPr>
      <w:r>
        <w:t xml:space="preserve">Existing research on auditing in Japan largely focuses on Tokyo-centric corporate governance or macro-level regulatory frameworks, neglecting the operational realities of the Auditor in Osaka. This gap creates a risk: audit methodologies developed for Tokyo's large conglomerates may be ill-suited for Osaka's diverse SME base and its distinct business culture (e.g., emphasis on relationship-based trust 'Nemawashi'). Consequently, there is insufficient evidence on how to best train, equip, and deploy the Auditor to effectively mitigate sector-specific financial reporting risks in Osaka. This Research Proposal directly addresses this critical deficiency.</w:t>
      </w:r>
    </w:p>
    <w:bookmarkEnd w:id="23"/>
    <w:bookmarkStart w:id="24" w:name="research-objectives"/>
    <w:p>
      <w:pPr>
        <w:pStyle w:val="Heading2"/>
      </w:pPr>
      <w:r>
        <w:t xml:space="preserve">4. Research Objectives</w:t>
      </w:r>
    </w:p>
    <w:p>
      <w:pPr>
        <w:pStyle w:val="FirstParagraph"/>
      </w:pPr>
      <w:r>
        <w:t xml:space="preserve">The primary aim of this study is to develop a framework for enhancing Auditor effectiveness within Japan Osaka's business environment. Specific objectives include:</w:t>
      </w:r>
    </w:p>
    <w:p>
      <w:pPr>
        <w:numPr>
          <w:ilvl w:val="0"/>
          <w:numId w:val="1002"/>
        </w:numPr>
        <w:pStyle w:val="Compact"/>
      </w:pPr>
      <w:r>
        <w:t xml:space="preserve">To identify the most prevalent financial reporting risks and audit complexities unique to Osaka-based SMEs and MNC subsidiaries.</w:t>
      </w:r>
    </w:p>
    <w:p>
      <w:pPr>
        <w:numPr>
          <w:ilvl w:val="0"/>
          <w:numId w:val="1002"/>
        </w:numPr>
        <w:pStyle w:val="Compact"/>
      </w:pPr>
      <w:r>
        <w:t xml:space="preserve">To assess current Auditor training, technological adoption (e.g., AI-assisted audit tools), and regulatory engagement practices in Osaka firms.</w:t>
      </w:r>
    </w:p>
    <w:p>
      <w:pPr>
        <w:numPr>
          <w:ilvl w:val="0"/>
          <w:numId w:val="1002"/>
        </w:numPr>
        <w:pStyle w:val="Compact"/>
      </w:pPr>
      <w:r>
        <w:t xml:space="preserve">To evaluate the impact of Osaka's local business culture on auditor-client relationships and risk assessment.</w:t>
      </w:r>
    </w:p>
    <w:p>
      <w:pPr>
        <w:numPr>
          <w:ilvl w:val="0"/>
          <w:numId w:val="1002"/>
        </w:numPr>
        <w:pStyle w:val="Compact"/>
      </w:pPr>
      <w:r>
        <w:t xml:space="preserve">To propose regionally adaptive best practices for Auditor conduct that align with JASB standards, FSA expectations, and Osaka's economic priorities.</w:t>
      </w:r>
    </w:p>
    <w:bookmarkEnd w:id="24"/>
    <w:bookmarkStart w:id="25" w:name="methodology"/>
    <w:p>
      <w:pPr>
        <w:pStyle w:val="Heading2"/>
      </w:pPr>
      <w:r>
        <w:t xml:space="preserve">5. Methodology</w:t>
      </w:r>
    </w:p>
    <w:p>
      <w:pPr>
        <w:pStyle w:val="FirstParagraph"/>
      </w:pPr>
      <w:r>
        <w:t xml:space="preserve">This mixed-methods study will employ a three-phase approach within Japan Osaka:</w:t>
      </w:r>
    </w:p>
    <w:p>
      <w:pPr>
        <w:numPr>
          <w:ilvl w:val="0"/>
          <w:numId w:val="1003"/>
        </w:numPr>
        <w:pStyle w:val="Compact"/>
      </w:pPr>
      <w:r>
        <w:rPr>
          <w:bCs/>
          <w:b/>
        </w:rPr>
        <w:t xml:space="preserve">Phase 1 (Literature &amp; Regulatory Analysis):</w:t>
      </w:r>
      <w:r>
        <w:t xml:space="preserve"> </w:t>
      </w:r>
      <w:r>
        <w:t xml:space="preserve">Comprehensive review of JASB guidelines, FSA enforcement cases involving Osaka firms, and academic literature on regional audit practices in Japan.</w:t>
      </w:r>
    </w:p>
    <w:p>
      <w:pPr>
        <w:numPr>
          <w:ilvl w:val="0"/>
          <w:numId w:val="1003"/>
        </w:numPr>
        <w:pStyle w:val="Compact"/>
      </w:pPr>
      <w:r>
        <w:rPr>
          <w:bCs/>
          <w:b/>
        </w:rPr>
        <w:t xml:space="preserve">Phase 2 (Fieldwork in Osaka):</w:t>
      </w:r>
      <w:r>
        <w:t xml:space="preserve"> </w:t>
      </w:r>
      <w:r>
        <w:t xml:space="preserve">Semi-structured interviews with 30+ key stakeholders: senior Auditors from Big Four firms (KPMG, PwC, EY, Deloitte) operating offices in Osaka; financial officers of 15 mid-sized Osaka-based companies across manufacturing and services; representatives from the Osaka Chamber of Commerce and Industry.</w:t>
      </w:r>
    </w:p>
    <w:p>
      <w:pPr>
        <w:numPr>
          <w:ilvl w:val="0"/>
          <w:numId w:val="1003"/>
        </w:numPr>
        <w:pStyle w:val="Compact"/>
      </w:pPr>
      <w:r>
        <w:rPr>
          <w:bCs/>
          <w:b/>
        </w:rPr>
        <w:t xml:space="preserve">Phase 3 (Data Synthesis &amp; Framework Development):</w:t>
      </w:r>
      <w:r>
        <w:t xml:space="preserve"> </w:t>
      </w:r>
      <w:r>
        <w:t xml:space="preserve">Thematic analysis of interview data to identify patterns, validate findings through focus groups with Auditor associations in Osaka, and synthesize evidence into a practical "Osaka Audit Excellence Framework" for Auditors.</w:t>
      </w:r>
    </w:p>
    <w:bookmarkEnd w:id="25"/>
    <w:bookmarkStart w:id="26" w:name="significance-of-the-research"/>
    <w:p>
      <w:pPr>
        <w:pStyle w:val="Heading2"/>
      </w:pPr>
      <w:r>
        <w:t xml:space="preserve">6. Significance of the Research</w:t>
      </w:r>
    </w:p>
    <w:p>
      <w:pPr>
        <w:pStyle w:val="FirstParagraph"/>
      </w:pPr>
      <w:r>
        <w:t xml:space="preserve">This research holds substantial significance for multiple stakeholders:</w:t>
      </w:r>
    </w:p>
    <w:p>
      <w:pPr>
        <w:numPr>
          <w:ilvl w:val="0"/>
          <w:numId w:val="1004"/>
        </w:numPr>
        <w:pStyle w:val="Compact"/>
      </w:pPr>
      <w:r>
        <w:rPr>
          <w:bCs/>
          <w:b/>
        </w:rPr>
        <w:t xml:space="preserve">For Auditors in Osaka:</w:t>
      </w:r>
      <w:r>
        <w:t xml:space="preserve"> </w:t>
      </w:r>
      <w:r>
        <w:t xml:space="preserve">Provides actionable insights to enhance their professional practice, reduce audit risk, and increase value-added services within the local market.</w:t>
      </w:r>
    </w:p>
    <w:p>
      <w:pPr>
        <w:numPr>
          <w:ilvl w:val="0"/>
          <w:numId w:val="1004"/>
        </w:numPr>
        <w:pStyle w:val="Compact"/>
      </w:pPr>
      <w:r>
        <w:rPr>
          <w:bCs/>
          <w:b/>
        </w:rPr>
        <w:t xml:space="preserve">For Businesses in Japan Osaka:</w:t>
      </w:r>
      <w:r>
        <w:t xml:space="preserve"> </w:t>
      </w:r>
      <w:r>
        <w:t xml:space="preserve">Promotes greater financial transparency, reduces compliance costs through clearer expectations, and strengthens investor relations for companies operating from Osaka.</w:t>
      </w:r>
    </w:p>
    <w:p>
      <w:pPr>
        <w:numPr>
          <w:ilvl w:val="0"/>
          <w:numId w:val="1004"/>
        </w:numPr>
        <w:pStyle w:val="Compact"/>
      </w:pPr>
      <w:r>
        <w:rPr>
          <w:bCs/>
          <w:b/>
        </w:rPr>
        <w:t xml:space="preserve">For Regulatory Bodies (FSA, JASB):</w:t>
      </w:r>
      <w:r>
        <w:t xml:space="preserve"> </w:t>
      </w:r>
      <w:r>
        <w:t xml:space="preserve">Offers empirical data to refine guidance and oversight mechanisms specifically relevant to the Kansai region's business dynamics.</w:t>
      </w:r>
    </w:p>
    <w:p>
      <w:pPr>
        <w:numPr>
          <w:ilvl w:val="0"/>
          <w:numId w:val="1004"/>
        </w:numPr>
        <w:pStyle w:val="Compact"/>
      </w:pPr>
      <w:r>
        <w:rPr>
          <w:bCs/>
          <w:b/>
        </w:rPr>
        <w:t xml:space="preserve">For Japan's Economy:</w:t>
      </w:r>
      <w:r>
        <w:t xml:space="preserve"> </w:t>
      </w:r>
      <w:r>
        <w:t xml:space="preserve">Contributes directly to building a more resilient financial infrastructure in Osaka, supporting its role as a driver of national economic growth and international competitiveness.</w:t>
      </w:r>
    </w:p>
    <w:bookmarkEnd w:id="26"/>
    <w:bookmarkStart w:id="27" w:name="timeline"/>
    <w:p>
      <w:pPr>
        <w:pStyle w:val="Heading2"/>
      </w:pPr>
      <w:r>
        <w:t xml:space="preserve">7. Timeline</w:t>
      </w:r>
    </w:p>
    <w:p>
      <w:pPr>
        <w:pStyle w:val="FirstParagraph"/>
      </w:pPr>
      <w:r>
        <w:t xml:space="preserve">The proposed 18-month project timeline is structured for efficient execution within the Osaka context:</w:t>
      </w:r>
    </w:p>
    <w:p>
      <w:pPr>
        <w:numPr>
          <w:ilvl w:val="0"/>
          <w:numId w:val="1005"/>
        </w:numPr>
        <w:pStyle w:val="Compact"/>
      </w:pPr>
      <w:r>
        <w:rPr>
          <w:bCs/>
          <w:b/>
        </w:rPr>
        <w:t xml:space="preserve">Months 1-3:</w:t>
      </w:r>
      <w:r>
        <w:t xml:space="preserve"> </w:t>
      </w:r>
      <w:r>
        <w:t xml:space="preserve">Comprehensive literature review &amp; regulatory mapping (focus on Osaka-specific precedents).</w:t>
      </w:r>
    </w:p>
    <w:p>
      <w:pPr>
        <w:numPr>
          <w:ilvl w:val="0"/>
          <w:numId w:val="1005"/>
        </w:numPr>
        <w:pStyle w:val="Compact"/>
      </w:pPr>
      <w:r>
        <w:rPr>
          <w:bCs/>
          <w:b/>
        </w:rPr>
        <w:t xml:space="preserve">Months 4-9:</w:t>
      </w:r>
      <w:r>
        <w:t xml:space="preserve"> </w:t>
      </w:r>
      <w:r>
        <w:t xml:space="preserve">Fieldwork phase: Conducting interviews and focus groups across key districts in Osaka (Namba, Umeda, Kita Ward).</w:t>
      </w:r>
    </w:p>
    <w:p>
      <w:pPr>
        <w:numPr>
          <w:ilvl w:val="0"/>
          <w:numId w:val="1005"/>
        </w:numPr>
        <w:pStyle w:val="Compact"/>
      </w:pPr>
      <w:r>
        <w:rPr>
          <w:bCs/>
          <w:b/>
        </w:rPr>
        <w:t xml:space="preserve">Months 10-15:</w:t>
      </w:r>
      <w:r>
        <w:t xml:space="preserve"> </w:t>
      </w:r>
      <w:r>
        <w:t xml:space="preserve">Data analysis, framework development, and validation workshops with Osaka-based accounting professionals.</w:t>
      </w:r>
    </w:p>
    <w:p>
      <w:pPr>
        <w:numPr>
          <w:ilvl w:val="0"/>
          <w:numId w:val="1005"/>
        </w:numPr>
        <w:pStyle w:val="Compact"/>
      </w:pPr>
      <w:r>
        <w:rPr>
          <w:bCs/>
          <w:b/>
        </w:rPr>
        <w:t xml:space="preserve">Months 16-18:</w:t>
      </w:r>
      <w:r>
        <w:t xml:space="preserve"> </w:t>
      </w:r>
      <w:r>
        <w:t xml:space="preserve">Drafting final report, disseminating findings through Osaka Chamber of Commerce forums, and preparing academic publications.</w:t>
      </w:r>
    </w:p>
    <w:bookmarkEnd w:id="27"/>
    <w:bookmarkStart w:id="28" w:name="expected-outcomes"/>
    <w:p>
      <w:pPr>
        <w:pStyle w:val="Heading2"/>
      </w:pPr>
      <w:r>
        <w:t xml:space="preserve">8. Expected Outcomes</w:t>
      </w:r>
    </w:p>
    <w:p>
      <w:pPr>
        <w:pStyle w:val="FirstParagraph"/>
      </w:pPr>
      <w:r>
        <w:t xml:space="preserve">The culmination of this Research Proposal will be a detailed "Osaka Auditor Effectiveness Toolkit" – including sector-specific risk assessment matrices, communication guidelines sensitive to local business culture, and recommendations for leveraging technology within Osaka's specific regulatory environment. This framework is designed for immediate adoption by auditors practicing in Japan Osaka, directly enhancing the quality and relevance of their work. Furthermore, the study will generate academic contributions on regional variations in audit practice within Japan's national context.</w:t>
      </w:r>
    </w:p>
    <w:bookmarkEnd w:id="28"/>
    <w:bookmarkStart w:id="29" w:name="conclusion"/>
    <w:p>
      <w:pPr>
        <w:pStyle w:val="Heading2"/>
      </w:pPr>
      <w:r>
        <w:t xml:space="preserve">9. Conclusion</w:t>
      </w:r>
    </w:p>
    <w:p>
      <w:pPr>
        <w:pStyle w:val="FirstParagraph"/>
      </w:pPr>
      <w:r>
        <w:t xml:space="preserve">The role of the Auditor is not static; it must evolve alongside the economic ecosystem it serves. In Japan Osaka, a city of unparalleled commercial vibrancy and complexity, this evolution is not merely beneficial—it is essential for sustaining market integrity and fostering continued growth. This Research Proposal provides a rigorous roadmap to understand, adapt, and ultimately elevate the practice of the Auditor within Osaka's unique landscape. By centering our investigation on the specific needs and challenges of Japan Osaka's business community, this research promises tangible benefits for financial reporting quality, regulatory compliance, and economic resilience across one of Asia's most vital economic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Japan Osaka's Evolving Business Ecosystem</dc:title>
  <dc:creator/>
  <dc:language>en</dc:language>
  <cp:keywords/>
  <dcterms:created xsi:type="dcterms:W3CDTF">2026-07-19T03:00:46Z</dcterms:created>
  <dcterms:modified xsi:type="dcterms:W3CDTF">2026-07-19T03:00:46Z</dcterms:modified>
</cp:coreProperties>
</file>

<file path=docProps/custom.xml><?xml version="1.0" encoding="utf-8"?>
<Properties xmlns="http://schemas.openxmlformats.org/officeDocument/2006/custom-properties" xmlns:vt="http://schemas.openxmlformats.org/officeDocument/2006/docPropsVTypes"/>
</file>