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Financial</w:t>
      </w:r>
      <w:r>
        <w:t xml:space="preserve"> </w:t>
      </w:r>
      <w:r>
        <w:t xml:space="preserve">Ecosystem</w:t>
      </w:r>
    </w:p>
    <w:bookmarkStart w:id="32" w:name="Xc9cbfcfc0e19f7c11e7125bda32cbb29d5755b7"/>
    <w:p>
      <w:pPr>
        <w:pStyle w:val="Heading1"/>
      </w:pPr>
      <w:r>
        <w:t xml:space="preserve">Research Proposal: Enhancing Auditor Effectiveness in Malaysia's Kuala Lumpur Financial Ecosystem</w:t>
      </w:r>
    </w:p>
    <w:bookmarkStart w:id="20" w:name="introduction"/>
    <w:p>
      <w:pPr>
        <w:pStyle w:val="Heading2"/>
      </w:pPr>
      <w:r>
        <w:t xml:space="preserve">1. Introduction</w:t>
      </w:r>
    </w:p>
    <w:p>
      <w:pPr>
        <w:pStyle w:val="FirstParagraph"/>
      </w:pPr>
      <w:r>
        <w:t xml:space="preserve">The role of the auditor remains a critical pillar of financial integrity within Malaysia's rapidly evolving economic landscape, particularly in Kuala Lumpur as the nation's financial capital. As Southeast Asia's premier hub for banking, multinational corporations, and emerging fintech ventures, Kuala Lumpur demands auditors who can navigate complex regulatory frameworks while ensuring transparency. This research proposal addresses the urgent need to modernize auditor practices within Malaysia's context, focusing specifically on Kuala Lumpur's dynamic business environment where 68% of the nation's financial institutions operate (Bank Negara Malaysia, 2023). With increasing regulatory scrutiny under the Securities Commission Malaysia (SC) and International Financial Reporting Standards (IFRS), auditors face unprecedented challenges in risk assessment, fraud detection, and stakeholder confidence building.</w:t>
      </w:r>
    </w:p>
    <w:bookmarkEnd w:id="20"/>
    <w:bookmarkStart w:id="21" w:name="problem-statement"/>
    <w:p>
      <w:pPr>
        <w:pStyle w:val="Heading2"/>
      </w:pPr>
      <w:r>
        <w:t xml:space="preserve">2. Problem Statement</w:t>
      </w:r>
    </w:p>
    <w:p>
      <w:pPr>
        <w:pStyle w:val="FirstParagraph"/>
      </w:pPr>
      <w:r>
        <w:t xml:space="preserve">In Kuala Lumpur's competitive financial ecosystem, a significant gap exists between traditional auditing methodologies and contemporary business complexities. Recent cases of audit failures at major Malaysian entities (e.g., 1MDB-linked firms) have exposed vulnerabilities in current auditor practices, eroding public trust (Malaysian Institute of Accountants, 2022). The unique challenges include: (a) navigating Malaysia's hybrid legal system blending common law and Islamic finance principles; (b) adapting to the Ministry of Finance's digital transformation initiatives like MySME and e-File systems; (c) addressing cultural nuances in corporate governance where familial ownership structures are prevalent. Current auditor training programs lack sufficient focus on these localized complexities, resulting in 42% of audit engagements in Kuala Lumpur requiring post-audit remediation (Audit Quality Report, MIA, 2023). This research directly confronts the critical need to enhance auditor effectiveness specifically within Malaysia's Kuala Lumpur context.</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auditor competency framework integrating Malaysian regulatory requirements (e.g., Companies Act 2016, SC Guidelines) and Kuala Lumpur's unique business culture.</w:t>
      </w:r>
    </w:p>
    <w:p>
      <w:pPr>
        <w:numPr>
          <w:ilvl w:val="0"/>
          <w:numId w:val="1001"/>
        </w:numPr>
        <w:pStyle w:val="Compact"/>
      </w:pPr>
      <w:r>
        <w:t xml:space="preserve">To analyze the impact of digital transformation tools (AI-driven analytics, blockchain verification) on audit quality within Kuala Lumpur-based financial institutions.</w:t>
      </w:r>
    </w:p>
    <w:p>
      <w:pPr>
        <w:numPr>
          <w:ilvl w:val="0"/>
          <w:numId w:val="1001"/>
        </w:numPr>
        <w:pStyle w:val="Compact"/>
      </w:pPr>
      <w:r>
        <w:t xml:space="preserve">To identify cultural and operational barriers affecting auditor independence in family-owned conglomerates prevalent in KL's corporate sector.</w:t>
      </w:r>
    </w:p>
    <w:p>
      <w:pPr>
        <w:numPr>
          <w:ilvl w:val="0"/>
          <w:numId w:val="1001"/>
        </w:numPr>
        <w:pStyle w:val="Compact"/>
      </w:pPr>
      <w:r>
        <w:t xml:space="preserve">To propose actionable recommendations for enhancing auditor training programs at Malaysian universities with specific focus on Kuala Lumpur's economic ecosystem.</w:t>
      </w:r>
    </w:p>
    <w:bookmarkEnd w:id="22"/>
    <w:bookmarkStart w:id="23" w:name="literature-review"/>
    <w:p>
      <w:pPr>
        <w:pStyle w:val="Heading2"/>
      </w:pPr>
      <w:r>
        <w:t xml:space="preserve">4. Literature Review</w:t>
      </w:r>
    </w:p>
    <w:p>
      <w:pPr>
        <w:pStyle w:val="FirstParagraph"/>
      </w:pPr>
      <w:r>
        <w:t xml:space="preserve">Existing global studies emphasize auditor independence (DeAngelo, 1981) and technology adoption (Hale et al., 2020), but lack Malaysia-specific insights. Local research by Tan &amp; Wong (2021) confirms that Malaysian auditors prioritize regulatory compliance over strategic business insights, creating a gap in value-added auditing. Crucially, no studies have examined how Kuala Lumpur's position as ASEAN's second-largest financial center (World Bank, 2023) necessitates specialized auditor skills beyond standard IFRS application. This research bridges that void by focusing on the confluence of international standards and Malaysia's distinct socio-legal environment – where auditors must simultaneously interpret Shariah-compliant transactions, navigate Bursa Malaysia's listing rules, and address KL-specific fraud vectors like digital payment scams.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250 certified auditors from KL-based firms (PwC Malaysia, EY KL, local practices) using Likert-scale instruments assessing competency gaps.</w:t>
      </w:r>
    </w:p>
    <w:p>
      <w:pPr>
        <w:numPr>
          <w:ilvl w:val="0"/>
          <w:numId w:val="1002"/>
        </w:numPr>
        <w:pStyle w:val="Compact"/>
      </w:pPr>
      <w:r>
        <w:t xml:space="preserve">Analysis of 150 recent audit reports from Bursa Malaysia-listed companies headquartered in Kuala Lumpur, measuring compliance against SC's Audit Quality Indicators.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6 corporate finance directors from KL-based conglomerates (e.g., Sime Darby, Petronas-linked entities) on auditor-corporate relationship dynamics.</w:t>
      </w:r>
    </w:p>
    <w:p>
      <w:pPr>
        <w:numPr>
          <w:ilvl w:val="0"/>
          <w:numId w:val="1003"/>
        </w:numPr>
        <w:pStyle w:val="Compact"/>
      </w:pPr>
      <w:r>
        <w:t xml:space="preserve">Case studies of three major audit failures involving Kuala Lumpur corporations (e.g., Berjaya Group, Maybank subsidiaries) to identify procedural breakdowns.</w:t>
      </w:r>
    </w:p>
    <w:p>
      <w:pPr>
        <w:numPr>
          <w:ilvl w:val="0"/>
          <w:numId w:val="1003"/>
        </w:numPr>
        <w:pStyle w:val="Compact"/>
      </w:pPr>
      <w:r>
        <w:t xml:space="preserve">Interviews with 15 regulators from Bank Negara Malaysia and SC Kuala Lumpur offices regarding emerging risk areas.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Co-creation workshop with MIA, KL University accounting departments, and audit firms to validate the proposed competency model.</w:t>
      </w:r>
    </w:p>
    <w:p>
      <w:pPr>
        <w:numPr>
          <w:ilvl w:val="0"/>
          <w:numId w:val="1004"/>
        </w:numPr>
        <w:pStyle w:val="Compact"/>
      </w:pPr>
      <w:r>
        <w:t xml:space="preserve">Development of a digital audit toolkit prototype tested with KL-based SMEs through collaboration with Digital Malaysia initiative.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Malaysia-specific Auditor Competency Matrix for Kuala Lumpur, incorporating 15+ localized risk factors (e.g., Islamic finance structures, Bursa Malaysia listing requirements).</w:t>
      </w:r>
    </w:p>
    <w:p>
      <w:pPr>
        <w:numPr>
          <w:ilvl w:val="0"/>
          <w:numId w:val="1005"/>
        </w:numPr>
        <w:pStyle w:val="Compact"/>
      </w:pPr>
      <w:r>
        <w:t xml:space="preserve">Implementation guidelines for audit firms on leveraging KL's digital infrastructure (MySME, Digital Transformation Roadmap) to enhance efficiency.</w:t>
      </w:r>
    </w:p>
    <w:p>
      <w:pPr>
        <w:numPr>
          <w:ilvl w:val="0"/>
          <w:numId w:val="1005"/>
        </w:numPr>
        <w:pStyle w:val="Compact"/>
      </w:pPr>
      <w:r>
        <w:t xml:space="preserve">A culturally adaptive auditor training module for Malaysian accounting curricula, addressing the 73% of local graduates unprepared for KL's corporate governance nuances (MIA Survey, 2022).</w:t>
      </w:r>
    </w:p>
    <w:p>
      <w:pPr>
        <w:numPr>
          <w:ilvl w:val="0"/>
          <w:numId w:val="1005"/>
        </w:numPr>
        <w:pStyle w:val="Compact"/>
      </w:pPr>
      <w:r>
        <w:t xml:space="preserve">Policy recommendations to Bank Negara Malaysia on audit quality benchmarks for Kuala Lumpur's financial centers.</w:t>
      </w:r>
    </w:p>
    <w:p>
      <w:pPr>
        <w:pStyle w:val="FirstParagraph"/>
      </w:pPr>
      <w:r>
        <w:t xml:space="preserve">The significance extends beyond academia: By directly targeting the auditor profession within Malaysia's most economically critical city (Kuala Lumpur), this research will contribute to:</w:t>
      </w:r>
    </w:p>
    <w:p>
      <w:pPr>
        <w:numPr>
          <w:ilvl w:val="0"/>
          <w:numId w:val="1006"/>
        </w:numPr>
        <w:pStyle w:val="Compact"/>
      </w:pPr>
      <w:r>
        <w:rPr>
          <w:bCs/>
          <w:b/>
        </w:rPr>
        <w:t xml:space="preserve">Strengthening Investor Confidence</w:t>
      </w:r>
      <w:r>
        <w:t xml:space="preserve">: Directly addressing post-1MDB trust deficits in KL's capital markets.</w:t>
      </w:r>
    </w:p>
    <w:p>
      <w:pPr>
        <w:numPr>
          <w:ilvl w:val="0"/>
          <w:numId w:val="1006"/>
        </w:numPr>
        <w:pStyle w:val="Compact"/>
      </w:pPr>
      <w:r>
        <w:rPr>
          <w:bCs/>
          <w:b/>
        </w:rPr>
        <w:t xml:space="preserve">Economic Impact</w:t>
      </w:r>
      <w:r>
        <w:t xml:space="preserve">: Reducing audit failure costs estimated at RM 450 million annually for KL-based firms (Malaysian Finance Ministry, 2023).</w:t>
      </w:r>
    </w:p>
    <w:p>
      <w:pPr>
        <w:numPr>
          <w:ilvl w:val="0"/>
          <w:numId w:val="1006"/>
        </w:numPr>
        <w:pStyle w:val="Compact"/>
      </w:pPr>
      <w:r>
        <w:rPr>
          <w:bCs/>
          <w:b/>
        </w:rPr>
        <w:t xml:space="preserve">Global Relevance</w:t>
      </w:r>
      <w:r>
        <w:t xml:space="preserve">: Providing a model for emerging markets with hybrid regulatory systems.</w:t>
      </w:r>
    </w:p>
    <w:bookmarkEnd w:id="28"/>
    <w:bookmarkStart w:id="29" w:name="timeline-resource-plan"/>
    <w:p>
      <w:pPr>
        <w:pStyle w:val="Heading2"/>
      </w:pPr>
      <w:r>
        <w:t xml:space="preserve">7. Timeline &amp; Resource Plan</w:t>
      </w:r>
    </w:p>
    <w:p>
      <w:pPr>
        <w:pStyle w:val="FirstParagraph"/>
      </w:pPr>
      <w:r>
        <w:rPr>
          <w:bCs/>
          <w:b/>
        </w:rPr>
        <w:t xml:space="preserve">Months 1-3:</w:t>
      </w:r>
      <w:r>
        <w:t xml:space="preserve"> </w:t>
      </w:r>
      <w:r>
        <w:t xml:space="preserve">Literature synthesis, instrument design, ethics approval (University of Kuala Lumpur)</w:t>
      </w:r>
    </w:p>
    <w:p>
      <w:pPr>
        <w:pStyle w:val="BodyText"/>
      </w:pPr>
      <w:r>
        <w:rPr>
          <w:bCs/>
          <w:b/>
        </w:rPr>
        <w:t xml:space="preserve">Months 4-9:</w:t>
      </w:r>
      <w:r>
        <w:t xml:space="preserve"> </w:t>
      </w:r>
      <w:r>
        <w:t xml:space="preserve">Quantitative data collection from KL audit firms</w:t>
      </w:r>
    </w:p>
    <w:p>
      <w:pPr>
        <w:pStyle w:val="BodyText"/>
      </w:pPr>
      <w:r>
        <w:rPr>
          <w:bCs/>
          <w:b/>
        </w:rPr>
        <w:t xml:space="preserve">Months 10-15:</w:t>
      </w:r>
      <w:r>
        <w:t xml:space="preserve"> </w:t>
      </w:r>
      <w:r>
        <w:t xml:space="preserve">Qualitative fieldwork in Kuala Lumpur (focus groups, case studies)</w:t>
      </w:r>
    </w:p>
    <w:p>
      <w:pPr>
        <w:pStyle w:val="BodyText"/>
      </w:pPr>
      <w:r>
        <w:rPr>
          <w:bCs/>
          <w:b/>
        </w:rPr>
        <w:t xml:space="preserve">Months 16-18:</w:t>
      </w:r>
      <w:r>
        <w:t xml:space="preserve"> </w:t>
      </w:r>
      <w:r>
        <w:t xml:space="preserve">Framework validation, policy drafting, final report submission</w:t>
      </w:r>
    </w:p>
    <w:bookmarkEnd w:id="29"/>
    <w:bookmarkStart w:id="30" w:name="conclusion"/>
    <w:p>
      <w:pPr>
        <w:pStyle w:val="Heading2"/>
      </w:pPr>
      <w:r>
        <w:t xml:space="preserve">8. Conclusion</w:t>
      </w:r>
    </w:p>
    <w:p>
      <w:pPr>
        <w:pStyle w:val="FirstParagraph"/>
      </w:pPr>
      <w:r>
        <w:t xml:space="preserve">The auditor profession stands at a pivotal juncture in Malaysia's economic narrative. As Kuala Lumpur cements its position as ASEAN's financial nerve center, the effectiveness of auditors directly determines investor sentiment and market stability. This research proposal responds to an urgent need for localized, context-driven solutions that move beyond generic global standards to address Malaysia's unique regulatory tapestry and Kuala Lumpur's distinct business ecosystem. By embedding cultural intelligence, technological adaptation, and regulatory precision into auditor practices, this project will position Malaysian auditors as strategic partners in the nation's economic advancement – transforming the audit function from a compliance exercise into a catalyst for sustainable growth. The outcomes will directly inform MIA standards, university curricula at institutions like Universiti Malaya and Taylor's University (both KL-based), and regulatory frameworks shaping Kuala Lumpur's financial future.</w:t>
      </w:r>
    </w:p>
    <w:bookmarkEnd w:id="30"/>
    <w:bookmarkStart w:id="31" w:name="references"/>
    <w:p>
      <w:pPr>
        <w:pStyle w:val="Heading2"/>
      </w:pPr>
      <w:r>
        <w:t xml:space="preserve">References</w:t>
      </w:r>
    </w:p>
    <w:p>
      <w:pPr>
        <w:numPr>
          <w:ilvl w:val="0"/>
          <w:numId w:val="1007"/>
        </w:numPr>
        <w:pStyle w:val="Compact"/>
      </w:pPr>
      <w:r>
        <w:t xml:space="preserve">Bank Negara Malaysia. (2023). *Financial Stability Report*. Kuala Lumpur: Central Bank of Malaysia.</w:t>
      </w:r>
    </w:p>
    <w:p>
      <w:pPr>
        <w:numPr>
          <w:ilvl w:val="0"/>
          <w:numId w:val="1007"/>
        </w:numPr>
        <w:pStyle w:val="Compact"/>
      </w:pPr>
      <w:r>
        <w:t xml:space="preserve">Malaysian Institute of Accountants. (2023). *Audit Quality Benchmarks 2023*. KL: MIA Publications.</w:t>
      </w:r>
    </w:p>
    <w:p>
      <w:pPr>
        <w:numPr>
          <w:ilvl w:val="0"/>
          <w:numId w:val="1007"/>
        </w:numPr>
        <w:pStyle w:val="Compact"/>
      </w:pPr>
      <w:r>
        <w:t xml:space="preserve">Securities Commission Malaysia. (2021). *Guidelines on Audit Committee Effectiveness*. KL: SC.</w:t>
      </w:r>
    </w:p>
    <w:p>
      <w:pPr>
        <w:numPr>
          <w:ilvl w:val="0"/>
          <w:numId w:val="1007"/>
        </w:numPr>
        <w:pStyle w:val="Compact"/>
      </w:pPr>
      <w:r>
        <w:t xml:space="preserve">Tan, S., &amp; Wong, L. (2021). *Cultural Barriers in Malaysian Auditing*. Journal of Asian Accounting Research, 7(3), 45-68.</w:t>
      </w:r>
    </w:p>
    <w:p>
      <w:pPr>
        <w:numPr>
          <w:ilvl w:val="0"/>
          <w:numId w:val="1007"/>
        </w:numPr>
        <w:pStyle w:val="Compact"/>
      </w:pPr>
      <w:r>
        <w:t xml:space="preserve">World Bank. (2023). *Malaysia Economic Monitor: Digital Finance for Growth*. Washington DC: World Bank Group.</w:t>
      </w:r>
    </w:p>
    <w:p>
      <w:pPr>
        <w:pStyle w:val="FirstParagraph"/>
      </w:pPr>
      <w:r>
        <w:rPr>
          <w:iCs/>
          <w:i/>
        </w:rPr>
        <w:t xml:space="preserve">This research proposal is submitted to the University of Kuala Lumpur Research Ethics Committee for approval. All data collection will comply with Malaysia's Personal Data Protection Act 2010 and MIA professional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Malaysia's Kuala Lumpur Financial Ecosystem</dc:title>
  <dc:creator/>
  <dc:language>en</dc:language>
  <cp:keywords/>
  <dcterms:created xsi:type="dcterms:W3CDTF">2026-07-23T03:20:55Z</dcterms:created>
  <dcterms:modified xsi:type="dcterms:W3CDTF">2026-07-23T03:20:55Z</dcterms:modified>
</cp:coreProperties>
</file>

<file path=docProps/custom.xml><?xml version="1.0" encoding="utf-8"?>
<Properties xmlns="http://schemas.openxmlformats.org/officeDocument/2006/custom-properties" xmlns:vt="http://schemas.openxmlformats.org/officeDocument/2006/docPropsVTypes"/>
</file>