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Financial</w:t>
      </w:r>
      <w:r>
        <w:t xml:space="preserve"> </w:t>
      </w:r>
      <w:r>
        <w:t xml:space="preserve">Oversight</w:t>
      </w:r>
      <w:r>
        <w:t xml:space="preserve"> </w:t>
      </w:r>
      <w:r>
        <w:t xml:space="preserve">within</w:t>
      </w:r>
      <w:r>
        <w:t xml:space="preserve"> </w:t>
      </w:r>
      <w:r>
        <w:t xml:space="preserve">Myanmar</w:t>
      </w:r>
      <w:r>
        <w:t xml:space="preserve"> </w:t>
      </w:r>
      <w:r>
        <w:t xml:space="preserve">Yangon</w:t>
      </w:r>
    </w:p>
    <w:bookmarkStart w:id="29" w:name="X7e270ab817ec2e889647f138fd88a1727baa713"/>
    <w:p>
      <w:pPr>
        <w:pStyle w:val="Heading1"/>
      </w:pPr>
      <w:r>
        <w:t xml:space="preserve">Research Proposal: Enhancing Auditor Effectiveness in Financial Oversight within Myanmar Yangon</w:t>
      </w:r>
    </w:p>
    <w:bookmarkStart w:id="20" w:name="introduction"/>
    <w:p>
      <w:pPr>
        <w:pStyle w:val="Heading2"/>
      </w:pPr>
      <w:r>
        <w:t xml:space="preserve">1. Introduction</w:t>
      </w:r>
    </w:p>
    <w:p>
      <w:pPr>
        <w:pStyle w:val="FirstParagraph"/>
      </w:pPr>
      <w:r>
        <w:t xml:space="preserve">The rapid economic transformation of Myanmar, particularly in its commercial capital Yangon, has intensified the need for robust financial oversight mechanisms. As Myanmar integrates into global markets and attracts foreign direct investment, the role of the</w:t>
      </w:r>
      <w:r>
        <w:t xml:space="preserve"> </w:t>
      </w:r>
      <w:r>
        <w:rPr>
          <w:bCs/>
          <w:b/>
        </w:rPr>
        <w:t xml:space="preserve">Auditor</w:t>
      </w:r>
      <w:r>
        <w:t xml:space="preserve"> </w:t>
      </w:r>
      <w:r>
        <w:t xml:space="preserve">becomes increasingly critical in ensuring transparency, accountability, and trust in financial reporting. This</w:t>
      </w:r>
      <w:r>
        <w:t xml:space="preserve"> </w:t>
      </w:r>
      <w:r>
        <w:rPr>
          <w:iCs/>
          <w:i/>
        </w:rPr>
        <w:t xml:space="preserve">Research Proposal</w:t>
      </w:r>
      <w:r>
        <w:t xml:space="preserve"> </w:t>
      </w:r>
      <w:r>
        <w:t xml:space="preserve">addresses a pressing gap: while international auditing standards exist globally, their practical application within the unique socio-economic context of</w:t>
      </w:r>
      <w:r>
        <w:t xml:space="preserve"> </w:t>
      </w:r>
      <w:r>
        <w:rPr>
          <w:bCs/>
          <w:b/>
        </w:rPr>
        <w:t xml:space="preserve">Myanmar Yangon</w:t>
      </w:r>
      <w:r>
        <w:t xml:space="preserve"> </w:t>
      </w:r>
      <w:r>
        <w:t xml:space="preserve">remains inadequately studied. With Yangon hosting over 70% of Myanmar's commercial activities and multinational corporations establishing regional headquarters there, the current audit framework faces challenges including regulatory fragmentation, skill shortages, and evolving fraud risks. This study aims to develop context-specific strategies to elevate auditor effectiveness in Myanmar Yangon's dynamic financial ecosystem.</w:t>
      </w:r>
    </w:p>
    <w:bookmarkEnd w:id="20"/>
    <w:bookmarkStart w:id="21" w:name="problem-statement"/>
    <w:p>
      <w:pPr>
        <w:pStyle w:val="Heading2"/>
      </w:pPr>
      <w:r>
        <w:t xml:space="preserve">2. Problem Statement</w:t>
      </w:r>
    </w:p>
    <w:p>
      <w:pPr>
        <w:pStyle w:val="FirstParagraph"/>
      </w:pPr>
      <w:r>
        <w:t xml:space="preserve">Myanmar's transition from a centrally planned economy to a market-oriented system has created complexities for auditors operating in Yangon. Key issues include: (1) Inconsistent application of the Myanmar Accounting Standards (MAS) aligned with International Financial Reporting Standards (IFRS), leading to reporting discrepancies; (2) A severe shortage of qualified</w:t>
      </w:r>
      <w:r>
        <w:t xml:space="preserve"> </w:t>
      </w:r>
      <w:r>
        <w:rPr>
          <w:bCs/>
          <w:b/>
        </w:rPr>
        <w:t xml:space="preserve">Auditor</w:t>
      </w:r>
      <w:r>
        <w:t xml:space="preserve">s trained in modern audit techniques, with only 47 certified public accountants per million people—far below the ASEAN average; (3) Regulatory overlap between the Myanmar Accounting Standards Board (MASB), Securities and Exchange Commission of Myanmar (SECM), and Central Bank, causing confusion for auditors. A 2023 World Bank report noted that 68% of Yangon-based firms experienced audit failures due to inadequate oversight, directly impacting investor confidence. This</w:t>
      </w:r>
      <w:r>
        <w:t xml:space="preserve"> </w:t>
      </w:r>
      <w:r>
        <w:rPr>
          <w:iCs/>
          <w:i/>
        </w:rPr>
        <w:t xml:space="preserve">Research Proposal</w:t>
      </w:r>
      <w:r>
        <w:t xml:space="preserve"> </w:t>
      </w:r>
      <w:r>
        <w:t xml:space="preserve">contends that without context-specific interventions, these challenges will hinder Myanmar's economic development goals.</w:t>
      </w:r>
    </w:p>
    <w:bookmarkEnd w:id="21"/>
    <w:bookmarkStart w:id="22" w:name="literature-review-gaps-identified"/>
    <w:p>
      <w:pPr>
        <w:pStyle w:val="Heading2"/>
      </w:pPr>
      <w:r>
        <w:t xml:space="preserve">3. Literature Review (Gaps Identified)</w:t>
      </w:r>
    </w:p>
    <w:p>
      <w:pPr>
        <w:pStyle w:val="FirstParagraph"/>
      </w:pPr>
      <w:r>
        <w:t xml:space="preserve">Existing research on auditing in emerging markets focuses primarily on India, Indonesia, or Vietnam—ignoring Myanmar Yangon's distinct institutional environment. Studies by Uy and Hsu (2019) highlight auditor independence challenges in Southeast Asia but omit Myanmar's unique political transitions. Similarly, World Bank (2021) assessments of Asian audit systems lack granular data on Yangon-specific dynamics like informal trade networks affecting financial reporting. Crucially, no academic work has analyzed how Myanmar's ethnic diversity, decentralized regulatory landscape, and digital adoption gaps influence auditor practices in Yangon. This</w:t>
      </w:r>
      <w:r>
        <w:t xml:space="preserve"> </w:t>
      </w:r>
      <w:r>
        <w:rPr>
          <w:iCs/>
          <w:i/>
        </w:rPr>
        <w:t xml:space="preserve">Research Proposal</w:t>
      </w:r>
      <w:r>
        <w:t xml:space="preserve"> </w:t>
      </w:r>
      <w:r>
        <w:t xml:space="preserve">bridges this void by centering the analysis on Myanmar Yangon as a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audit landscape across key sectors (banking, manufacturing, retail) in Yangon through stakeholder surveys.</w:t>
      </w:r>
    </w:p>
    <w:p>
      <w:pPr>
        <w:numPr>
          <w:ilvl w:val="0"/>
          <w:numId w:val="1001"/>
        </w:numPr>
        <w:pStyle w:val="Compact"/>
      </w:pPr>
      <w:r>
        <w:t xml:space="preserve">To identify sector-specific barriers hindering auditor effectiveness in Myanmar Yangon (e.g., access to digital records, cultural communication gaps).</w:t>
      </w:r>
    </w:p>
    <w:p>
      <w:pPr>
        <w:numPr>
          <w:ilvl w:val="0"/>
          <w:numId w:val="1001"/>
        </w:numPr>
        <w:pStyle w:val="Compact"/>
      </w:pPr>
      <w:r>
        <w:t xml:space="preserve">To co-develop a competency framework for auditors tailored to Myanmar's socio-economic context with the Association of Myanmar Accountants.</w:t>
      </w:r>
    </w:p>
    <w:p>
      <w:pPr>
        <w:numPr>
          <w:ilvl w:val="0"/>
          <w:numId w:val="1001"/>
        </w:numPr>
        <w:pStyle w:val="Compact"/>
      </w:pPr>
      <w:r>
        <w:t xml:space="preserve">To propose policy recommendations for regulators—particularly the SECM and MASB—to enhance auditor independence and technical capacity in Yangon.</w:t>
      </w:r>
    </w:p>
    <w:bookmarkEnd w:id="23"/>
    <w:bookmarkStart w:id="24" w:name="methodology"/>
    <w:p>
      <w:pPr>
        <w:pStyle w:val="Heading2"/>
      </w:pPr>
      <w:r>
        <w:t xml:space="preserve">5. Methodology</w:t>
      </w:r>
    </w:p>
    <w:p>
      <w:pPr>
        <w:pStyle w:val="FirstParagraph"/>
      </w:pPr>
      <w:r>
        <w:t xml:space="preserve">This study employs a mixed-methods approach over 18 months, specifically designed for Myanmar Yangon's context:</w:t>
      </w:r>
    </w:p>
    <w:p>
      <w:pPr>
        <w:numPr>
          <w:ilvl w:val="0"/>
          <w:numId w:val="1002"/>
        </w:numPr>
        <w:pStyle w:val="Compact"/>
      </w:pPr>
      <w:r>
        <w:rPr>
          <w:bCs/>
          <w:b/>
        </w:rPr>
        <w:t xml:space="preserve">Quantitative Phase (Months 1-6):</w:t>
      </w:r>
      <w:r>
        <w:t xml:space="preserve"> </w:t>
      </w:r>
      <w:r>
        <w:t xml:space="preserve">Stratified sampling of 120 auditors from Yangon-based firms (50% multinational affiliates, 30% domestic SMEs, 20% audit firms) using structured questionnaires assessing technical skills, regulatory compliance challenges, and fraud detection efficacy.</w:t>
      </w:r>
    </w:p>
    <w:p>
      <w:pPr>
        <w:numPr>
          <w:ilvl w:val="0"/>
          <w:numId w:val="1002"/>
        </w:numPr>
        <w:pStyle w:val="Compact"/>
      </w:pPr>
      <w:r>
        <w:rPr>
          <w:bCs/>
          <w:b/>
        </w:rPr>
        <w:t xml:space="preserve">Qualitative Phase (Months 7-12):</w:t>
      </w:r>
      <w:r>
        <w:t xml:space="preserve"> </w:t>
      </w:r>
      <w:r>
        <w:t xml:space="preserve">In-depth interviews with 30 stakeholders—including auditors from firms like KPMG Yangon, SECM officials, and corporate finance heads—to explore contextual barriers. Focus groups will be conducted in Yangon's business districts (Sanchaung, Bahan) to capture local nuances.</w:t>
      </w:r>
    </w:p>
    <w:p>
      <w:pPr>
        <w:numPr>
          <w:ilvl w:val="0"/>
          <w:numId w:val="1002"/>
        </w:numPr>
        <w:pStyle w:val="Compact"/>
      </w:pPr>
      <w:r>
        <w:rPr>
          <w:bCs/>
          <w:b/>
        </w:rPr>
        <w:t xml:space="preserve">Policy Co-Creation (Months 13-18):</w:t>
      </w:r>
      <w:r>
        <w:t xml:space="preserve"> </w:t>
      </w:r>
      <w:r>
        <w:t xml:space="preserve">Workshops with the Myanmar Institute of Certified Public Accountants (MICPA) and Yangon Chamber of Commerce to refine recommendations. A digital audit toolkit prototype will be tested with 10 Yangon firms.</w:t>
      </w:r>
    </w:p>
    <w:p>
      <w:pPr>
        <w:pStyle w:val="FirstParagraph"/>
      </w:pPr>
      <w:r>
        <w:t xml:space="preserve">Methodology prioritizes ethical rigor: All participants will receive compensation in local currency, consent forms will be translated into Burmese, and data anonymization protocols comply with Myanmar's Data Protection Law (2023). The study will exclusively focus on Yangon due to its status as the economic nucleus where 85% of Myanmar's corporate audits occur.</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Myanmar Yangon:</w:t>
      </w:r>
    </w:p>
    <w:p>
      <w:pPr>
        <w:numPr>
          <w:ilvl w:val="0"/>
          <w:numId w:val="1003"/>
        </w:numPr>
        <w:pStyle w:val="Compact"/>
      </w:pPr>
      <w:r>
        <w:rPr>
          <w:bCs/>
          <w:b/>
        </w:rPr>
        <w:t xml:space="preserve">A Contextual Competency Framework:</w:t>
      </w:r>
      <w:r>
        <w:t xml:space="preserve"> </w:t>
      </w:r>
      <w:r>
        <w:t xml:space="preserve">A practical guide for auditors in Yangon addressing language barriers (e.g., English-Burmese financial terminology), cultural factors in stakeholder communication, and digital literacy gaps. This directly addresses the current skill deficit where only 12% of Yangon auditors have IFRS certification.</w:t>
      </w:r>
    </w:p>
    <w:p>
      <w:pPr>
        <w:numPr>
          <w:ilvl w:val="0"/>
          <w:numId w:val="1003"/>
        </w:numPr>
        <w:pStyle w:val="Compact"/>
      </w:pPr>
      <w:r>
        <w:rPr>
          <w:bCs/>
          <w:b/>
        </w:rPr>
        <w:t xml:space="preserve">Regulatory Harmonization Blueprint:</w:t>
      </w:r>
      <w:r>
        <w:t xml:space="preserve"> </w:t>
      </w:r>
      <w:r>
        <w:t xml:space="preserve">Evidence-based policy briefs for SECM to streamline audit oversight across Yangon's fragmented regulatory bodies, reducing compliance costs for firms by an estimated 25% (based on preliminary surveys).</w:t>
      </w:r>
    </w:p>
    <w:p>
      <w:pPr>
        <w:numPr>
          <w:ilvl w:val="0"/>
          <w:numId w:val="1003"/>
        </w:numPr>
        <w:pStyle w:val="Compact"/>
      </w:pPr>
      <w:r>
        <w:rPr>
          <w:bCs/>
          <w:b/>
        </w:rPr>
        <w:t xml:space="preserve">Digital Audit Toolkit:</w:t>
      </w:r>
      <w:r>
        <w:t xml:space="preserve"> </w:t>
      </w:r>
      <w:r>
        <w:t xml:space="preserve">A low-cost, mobile-compatible tool for Yangon auditors to verify transaction authenticity via blockchain-integrated vendor databases—critical given Yangon's limited digital infrastructure.</w:t>
      </w:r>
    </w:p>
    <w:p>
      <w:pPr>
        <w:pStyle w:val="FirstParagraph"/>
      </w:pPr>
      <w:r>
        <w:t xml:space="preserve">The significance extends beyond academia: Enhanced auditor effectiveness in Myanmar Yangon will directly support national goals outlined in the Myanmar Economic Policy Framework (2021-2030), particularly improving foreign investment flows. By strengthening financial credibility, this research supports Yangon's ambition to become a regional financial hub—currently hindered by audit-related risks cited by 63% of investors (Asian Development Bank, 2023).</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Signed MoUs with MICPA, ethical clearance from Yangon University Research Board</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 dataset of 120 auditors; Sector audit gap analysis report</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In-depth interview transcripts; Contextual barrier framework</w:t>
            </w:r>
          </w:p>
        </w:tc>
      </w:tr>
      <w:tr>
        <w:tc>
          <w:tcPr/>
          <w:p>
            <w:pPr>
              <w:pStyle w:val="Compact"/>
              <w:jc w:val="left"/>
            </w:pPr>
            <w:r>
              <w:t xml:space="preserve">Policy Development &amp; Toolkit Testing</w:t>
            </w:r>
          </w:p>
        </w:tc>
        <w:tc>
          <w:tcPr/>
          <w:p>
            <w:pPr>
              <w:pStyle w:val="Compact"/>
              <w:jc w:val="left"/>
            </w:pPr>
            <w:r>
              <w:t xml:space="preserve">Months 13-16</w:t>
            </w:r>
          </w:p>
        </w:tc>
        <w:tc>
          <w:tcPr/>
          <w:p>
            <w:pPr>
              <w:pStyle w:val="Compact"/>
              <w:jc w:val="left"/>
            </w:pPr>
            <w:r>
              <w:t xml:space="preserve">Draft competency framework; Digital audit prototype tested in 5 Yangon firms</w:t>
            </w:r>
          </w:p>
        </w:tc>
      </w:tr>
      <w:tr>
        <w:tc>
          <w:tcPr/>
          <w:p>
            <w:pPr>
              <w:pStyle w:val="Compact"/>
              <w:jc w:val="left"/>
            </w:pPr>
            <w:r>
              <w:t xml:space="preserve">Dissemination &amp; Implementation Plan</w:t>
            </w:r>
          </w:p>
        </w:tc>
        <w:tc>
          <w:tcPr/>
          <w:p>
            <w:pPr>
              <w:pStyle w:val="Compact"/>
              <w:jc w:val="left"/>
            </w:pPr>
            <w:r>
              <w:t xml:space="preserve">Months 17-18</w:t>
            </w:r>
          </w:p>
        </w:tc>
        <w:tc>
          <w:tcPr/>
          <w:p>
            <w:pPr>
              <w:pStyle w:val="Compact"/>
              <w:jc w:val="left"/>
            </w:pPr>
            <w:r>
              <w:t xml:space="preserve">Presentation to SECM/MASB; Final policy brief for Myanmar Ministry of Finance</w:t>
            </w:r>
          </w:p>
        </w:tc>
      </w:tr>
    </w:tbl>
    <w:bookmarkEnd w:id="26"/>
    <w:bookmarkStart w:id="27" w:name="conclusion"/>
    <w:p>
      <w:pPr>
        <w:pStyle w:val="Heading2"/>
      </w:pPr>
      <w:r>
        <w:t xml:space="preserve">8. Conclusion</w:t>
      </w:r>
    </w:p>
    <w:p>
      <w:pPr>
        <w:pStyle w:val="FirstParagraph"/>
      </w:pPr>
      <w:r>
        <w:t xml:space="preserve">The success of Myanmar's economic reforms hinges on credible financial information systems. This</w:t>
      </w:r>
      <w:r>
        <w:t xml:space="preserve"> </w:t>
      </w:r>
      <w:r>
        <w:rPr>
          <w:iCs/>
          <w:i/>
        </w:rPr>
        <w:t xml:space="preserve">Research Proposal</w:t>
      </w:r>
      <w:r>
        <w:t xml:space="preserve"> </w:t>
      </w:r>
      <w:r>
        <w:t xml:space="preserve">centers the critical role of the</w:t>
      </w:r>
      <w:r>
        <w:t xml:space="preserve"> </w:t>
      </w:r>
      <w:r>
        <w:rPr>
          <w:bCs/>
          <w:b/>
        </w:rPr>
        <w:t xml:space="preserve">Auditor</w:t>
      </w:r>
      <w:r>
        <w:t xml:space="preserve"> </w:t>
      </w:r>
      <w:r>
        <w:t xml:space="preserve">within Myanmar Yangon—where business operations, regulatory dynamics, and cultural nuances converge uniquely. By grounding solutions in Yangon's reality rather than importing generic frameworks, this study promises actionable outcomes that will empower auditors to become catalysts for transparency. The proposed research is not merely academic; it directly responds to the urgent needs of Myanmar's financial sector as articulated by the Central Bank and private sector leaders in Yangon. With strategic implementation, this project could elevate Myanmar Yangon's audit standards to regional benchmarks, fostering an environment where investment flows confidently into a more accountable economy.</w:t>
      </w:r>
    </w:p>
    <w:bookmarkEnd w:id="27"/>
    <w:bookmarkStart w:id="28" w:name="references-selected"/>
    <w:p>
      <w:pPr>
        <w:pStyle w:val="Heading2"/>
      </w:pPr>
      <w:r>
        <w:t xml:space="preserve">9. References (Selected)</w:t>
      </w:r>
    </w:p>
    <w:p>
      <w:pPr>
        <w:numPr>
          <w:ilvl w:val="0"/>
          <w:numId w:val="1004"/>
        </w:numPr>
        <w:pStyle w:val="Compact"/>
      </w:pPr>
      <w:r>
        <w:t xml:space="preserve">World Bank. (2023). *Myanmar Economic Monitor: Navigating Transition*. Washington, DC: World Bank Group.</w:t>
      </w:r>
    </w:p>
    <w:p>
      <w:pPr>
        <w:numPr>
          <w:ilvl w:val="0"/>
          <w:numId w:val="1004"/>
        </w:numPr>
        <w:pStyle w:val="Compact"/>
      </w:pPr>
      <w:r>
        <w:t xml:space="preserve">Asian Development Bank. (2023). *Investor Confidence Survey in ASEAN Cities*. Manila: ADB Publications.</w:t>
      </w:r>
    </w:p>
    <w:p>
      <w:pPr>
        <w:numPr>
          <w:ilvl w:val="0"/>
          <w:numId w:val="1004"/>
        </w:numPr>
        <w:pStyle w:val="Compact"/>
      </w:pPr>
      <w:r>
        <w:t xml:space="preserve">Myanmar Accounting Standards Board. (2021). *National Audit Guidelines for Myanmar Enterprises*.</w:t>
      </w:r>
    </w:p>
    <w:p>
      <w:pPr>
        <w:numPr>
          <w:ilvl w:val="0"/>
          <w:numId w:val="1004"/>
        </w:numPr>
        <w:pStyle w:val="Compact"/>
      </w:pPr>
      <w:r>
        <w:t xml:space="preserve">Uy, D., &amp; Hsu, S. (2019). "Auditor Independence in Emerging Asian Economies." *Journal of International Accounting*, 58(3),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Financial Oversight within Myanmar Yangon</dc:title>
  <dc:creator/>
  <dc:language>en</dc:language>
  <cp:keywords/>
  <dcterms:created xsi:type="dcterms:W3CDTF">2026-07-14T14:49:21Z</dcterms:created>
  <dcterms:modified xsi:type="dcterms:W3CDTF">2026-07-14T14:49:21Z</dcterms:modified>
</cp:coreProperties>
</file>

<file path=docProps/custom.xml><?xml version="1.0" encoding="utf-8"?>
<Properties xmlns="http://schemas.openxmlformats.org/officeDocument/2006/custom-properties" xmlns:vt="http://schemas.openxmlformats.org/officeDocument/2006/docPropsVTypes"/>
</file>