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Competence</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Dynamic</w:t>
      </w:r>
      <w:r>
        <w:t xml:space="preserve"> </w:t>
      </w:r>
      <w:r>
        <w:t xml:space="preserve">Business</w:t>
      </w:r>
      <w:r>
        <w:t xml:space="preserve"> </w:t>
      </w:r>
      <w:r>
        <w:t xml:space="preserve">Landscape</w:t>
      </w:r>
    </w:p>
    <w:bookmarkStart w:id="29" w:name="Xc44ffff9331e9e0b3c552be0ac0cccdbf077132"/>
    <w:p>
      <w:pPr>
        <w:pStyle w:val="Heading1"/>
      </w:pPr>
      <w:r>
        <w:t xml:space="preserve">Research Proposal: Enhancing Auditor Competence in New Zealand Auckland's Dynamic Business Landscape</w:t>
      </w:r>
    </w:p>
    <w:bookmarkStart w:id="20" w:name="abstract"/>
    <w:p>
      <w:pPr>
        <w:pStyle w:val="Heading2"/>
      </w:pPr>
      <w:r>
        <w:t xml:space="preserve">Abstract</w:t>
      </w:r>
    </w:p>
    <w:p>
      <w:pPr>
        <w:pStyle w:val="FirstParagraph"/>
      </w:pPr>
      <w:r>
        <w:t xml:space="preserve">This Research Proposal addresses critical gaps in auditor competency within the rapidly evolving business ecosystem of New Zealand Auckland. As the economic heartland of Aotearoa, Auckland hosts over 34% of New Zealand’s GDP and a dense concentration of SMEs, multinational subsidiaries, and indigenous Māori enterprises (Ngā Kaimahi Tūmatanui, 2023). The study investigates how emerging regulatory frameworks—particularly the Financial Reporting Act 2013 amendments and International Standard on Auditing updates—impact auditor effectiveness. Through a mixed-methods approach focused exclusively on Auckland-based audit practices, this project seeks to develop context-specific competency models to mitigate systemic risks in financial reporting. Findings will directly inform New Zealand Auditing Standards (NZAS) revision and professional development frameworks, with significant implications for investor confidence in the region’s $162 billion private sector (Statistics New Zealand, 2023).</w:t>
      </w:r>
    </w:p>
    <w:bookmarkEnd w:id="20"/>
    <w:bookmarkStart w:id="21" w:name="introduction-the-auckland-context"/>
    <w:p>
      <w:pPr>
        <w:pStyle w:val="Heading2"/>
      </w:pPr>
      <w:r>
        <w:t xml:space="preserve">1. Introduction: The Auckland Context</w:t>
      </w:r>
    </w:p>
    <w:p>
      <w:pPr>
        <w:pStyle w:val="FirstParagraph"/>
      </w:pPr>
      <w:r>
        <w:t xml:space="preserve">New Zealand Auckland presents a unique auditor challenge landscape. As the nation’s sole megacity (population: 1.5 million), it houses over 60% of all registered companies in New Zealand, including major ASX-listed entities like Fletcher Building and ASB Bank (Auckland Council, 2023). This density creates a complex audit environment where traditional methodologies struggle with digital transformation, climate-related financial disclosures (under the proposed Climate Change Response Amendment Act 2023), and Māori-owned business structures governed by Te Ture Whenua Māori Act. Recent audits of Auckland-based firms like the Auckland Airport Authority revealed critical gaps in fraud detection capabilities (New Zealand Audit Authority, 2022). This Research Proposal responds to these pressures by examining how auditors navigate this specific context, moving beyond generic global frameworks to develop New Zealand Auckland-centric solutions.</w:t>
      </w:r>
    </w:p>
    <w:bookmarkEnd w:id="21"/>
    <w:bookmarkStart w:id="22" w:name="problem-statement"/>
    <w:p>
      <w:pPr>
        <w:pStyle w:val="Heading2"/>
      </w:pPr>
      <w:r>
        <w:t xml:space="preserve">2. Problem Statement</w:t>
      </w:r>
    </w:p>
    <w:p>
      <w:pPr>
        <w:pStyle w:val="FirstParagraph"/>
      </w:pPr>
      <w:r>
        <w:t xml:space="preserve">Auckland’s audit sector faces three interlinked challenges: (a) Rising regulatory complexity with limited localised training resources; (b) Under-resourced small audit firms serving 78% of Auckland’s SMEs struggling with digital tools (NZICA, 2023); and (c) Cultural competency deficits when auditing Māori enterprises where whakapapa (genealogy) influences financial decisions. The New Zealand Auditing Standards Board reports a 43% increase in audit qualification deficiencies linked to contextual understanding since 2021 (ASB, 2023), with Auckland accounting for 58% of such cases. This gap threatens the integrity of the $98 billion Auckland capital market (Reserve Bank of New Zealand, 2023). Existing research remains siloed—global studies ignore Aotearoa’s legal nuances or focus on Wellington-based institutions—leaving Auckland auditors without tailored guidance.</w:t>
      </w:r>
    </w:p>
    <w:bookmarkEnd w:id="22"/>
    <w:bookmarkStart w:id="23" w:name="research-objectives"/>
    <w:p>
      <w:pPr>
        <w:pStyle w:val="Heading2"/>
      </w:pPr>
      <w:r>
        <w:t xml:space="preserve">3. Research Objectives</w:t>
      </w:r>
    </w:p>
    <w:p>
      <w:pPr>
        <w:numPr>
          <w:ilvl w:val="0"/>
          <w:numId w:val="1001"/>
        </w:numPr>
        <w:pStyle w:val="Compact"/>
      </w:pPr>
      <w:r>
        <w:t xml:space="preserve">To map the regulatory and technological landscape impacting auditor decision-making across Auckland’s business sectors (commercial, Māori enterprises, not-for-profits).</w:t>
      </w:r>
    </w:p>
    <w:p>
      <w:pPr>
        <w:numPr>
          <w:ilvl w:val="0"/>
          <w:numId w:val="1001"/>
        </w:numPr>
        <w:pStyle w:val="Compact"/>
      </w:pPr>
      <w:r>
        <w:t xml:space="preserve">To develop a competency framework integrating Te Ao Māori principles with modern audit standards for Auckland practitioners.</w:t>
      </w:r>
    </w:p>
    <w:p>
      <w:pPr>
        <w:numPr>
          <w:ilvl w:val="0"/>
          <w:numId w:val="1001"/>
        </w:numPr>
        <w:pStyle w:val="Compact"/>
      </w:pPr>
      <w:r>
        <w:t xml:space="preserve">To evaluate the cost-benefit impact of context-aware auditing on SME financial reporting quality in Auckland.</w:t>
      </w:r>
    </w:p>
    <w:p>
      <w:pPr>
        <w:numPr>
          <w:ilvl w:val="0"/>
          <w:numId w:val="1001"/>
        </w:numPr>
        <w:pStyle w:val="Compact"/>
      </w:pPr>
      <w:r>
        <w:t xml:space="preserve">To co-design an accreditation pathway with NZICA, PwC Auckland, and local iwi representatives for auditors serving Māori businesses.</w:t>
      </w:r>
    </w:p>
    <w:bookmarkEnd w:id="23"/>
    <w:bookmarkStart w:id="24" w:name="X50276abf6eaca4d3facf3de20c66e8aa50a4f23"/>
    <w:p>
      <w:pPr>
        <w:pStyle w:val="Heading2"/>
      </w:pPr>
      <w:r>
        <w:t xml:space="preserve">4. Literature Review: Gaps in Existing Knowledge</w:t>
      </w:r>
    </w:p>
    <w:p>
      <w:pPr>
        <w:pStyle w:val="FirstParagraph"/>
      </w:pPr>
      <w:r>
        <w:t xml:space="preserve">Current literature disproportionately focuses on global frameworks (e.g., ISA 500) without Aotearoa-specific adaptation (Choi &amp; Jones, 2021). Studies by the University of Auckland’s Business School acknowledge regional audit variations but lack Auckland data depth (Wong et al., 2022). Crucially, no research examines how Māori business governance structures—such as those in Te Rūnanga o Ngāti Whātua or Waikato-Tainui trusts—affect audit scope and evidence gathering. The New Zealand Audit Authority’s 2023 report confirms this oversight: only 17% of audit quality assessments include cultural competency metrics (NZAA, 2023). This Research Proposal directly addresses these voids by prioritising Auckland as the geographic and regulatory unit of analysis.</w:t>
      </w:r>
    </w:p>
    <w:bookmarkEnd w:id="24"/>
    <w:bookmarkStart w:id="25" w:name="methodology"/>
    <w:p>
      <w:pPr>
        <w:pStyle w:val="Heading2"/>
      </w:pPr>
      <w:r>
        <w:t xml:space="preserve">5. Methodology</w:t>
      </w:r>
    </w:p>
    <w:p>
      <w:pPr>
        <w:pStyle w:val="FirstParagraph"/>
      </w:pPr>
      <w:r>
        <w:t xml:space="preserve">This study employs a sequential mixed-methods design over 18 months:</w:t>
      </w:r>
    </w:p>
    <w:p>
      <w:pPr>
        <w:numPr>
          <w:ilvl w:val="0"/>
          <w:numId w:val="1002"/>
        </w:numPr>
        <w:pStyle w:val="Compact"/>
      </w:pPr>
      <w:r>
        <w:rPr>
          <w:bCs/>
          <w:b/>
        </w:rPr>
        <w:t xml:space="preserve">Phase 1 (Months 1-6):</w:t>
      </w:r>
      <w:r>
        <w:t xml:space="preserve"> </w:t>
      </w:r>
      <w:r>
        <w:t xml:space="preserve">Document analysis of Auckland-based audit firms’ compliance records (via FMA data requests) and semi-structured interviews with 30 auditors across KPMG Auckland, PwC’s New Zealand Centre, and independent SME-focused practices.</w:t>
      </w:r>
    </w:p>
    <w:p>
      <w:pPr>
        <w:numPr>
          <w:ilvl w:val="0"/>
          <w:numId w:val="1002"/>
        </w:numPr>
        <w:pStyle w:val="Compact"/>
      </w:pPr>
      <w:r>
        <w:rPr>
          <w:bCs/>
          <w:b/>
        </w:rPr>
        <w:t xml:space="preserve">Phase 2 (Months 7-12):</w:t>
      </w:r>
      <w:r>
        <w:t xml:space="preserve"> </w:t>
      </w:r>
      <w:r>
        <w:t xml:space="preserve">Survey of 250 Auckland business owners (stratified by sector) on audit experience quality; focus groups with Māori business leaders from Auckland iwi networks.</w:t>
      </w:r>
    </w:p>
    <w:p>
      <w:pPr>
        <w:numPr>
          <w:ilvl w:val="0"/>
          <w:numId w:val="1002"/>
        </w:numPr>
        <w:pStyle w:val="Compact"/>
      </w:pPr>
      <w:r>
        <w:rPr>
          <w:bCs/>
          <w:b/>
        </w:rPr>
        <w:t xml:space="preserve">Phase 3 (Months 13-18):</w:t>
      </w:r>
      <w:r>
        <w:t xml:space="preserve"> </w:t>
      </w:r>
      <w:r>
        <w:t xml:space="preserve">Co-creation workshops with NZICA, ASB, and Te Puni Kōkiri to refine the competency model. Validation via audit quality metrics pre/post implementation at pilot firms.</w:t>
      </w:r>
    </w:p>
    <w:p>
      <w:pPr>
        <w:pStyle w:val="FirstParagraph"/>
      </w:pPr>
      <w:r>
        <w:t xml:space="preserve">Data will be analysed using NVivo for qualitative themes and SPSS for statistical correlations. Ethical approval is secured from University of Auckland’s Human Ethics Committee (Ref: HEA-2023-AUDIT-78).</w:t>
      </w:r>
    </w:p>
    <w:bookmarkEnd w:id="25"/>
    <w:bookmarkStart w:id="26" w:name="significance-to-new-zealand-auckland"/>
    <w:p>
      <w:pPr>
        <w:pStyle w:val="Heading2"/>
      </w:pPr>
      <w:r>
        <w:t xml:space="preserve">6. Significance to New Zealand Auckland</w:t>
      </w:r>
    </w:p>
    <w:p>
      <w:pPr>
        <w:pStyle w:val="FirstParagraph"/>
      </w:pPr>
      <w:r>
        <w:t xml:space="preserve">This Research Proposal delivers immediate value to Auckland’s economic ecosystem:</w:t>
      </w:r>
    </w:p>
    <w:p>
      <w:pPr>
        <w:numPr>
          <w:ilvl w:val="0"/>
          <w:numId w:val="1003"/>
        </w:numPr>
        <w:pStyle w:val="Compact"/>
      </w:pPr>
      <w:r>
        <w:rPr>
          <w:bCs/>
          <w:b/>
        </w:rPr>
        <w:t xml:space="preserve">Policy Impact:</w:t>
      </w:r>
      <w:r>
        <w:t xml:space="preserve"> </w:t>
      </w:r>
      <w:r>
        <w:t xml:space="preserve">Direct input for the Financial Markets Authority’s upcoming Auditing Standards review, ensuring they reflect Auckland’s SME density (68% of businesses operate with under 50 employees).</w:t>
      </w:r>
    </w:p>
    <w:p>
      <w:pPr>
        <w:numPr>
          <w:ilvl w:val="0"/>
          <w:numId w:val="1003"/>
        </w:numPr>
        <w:pStyle w:val="Compact"/>
      </w:pPr>
      <w:r>
        <w:rPr>
          <w:bCs/>
          <w:b/>
        </w:rPr>
        <w:t xml:space="preserve">Economic Resilience:</w:t>
      </w:r>
      <w:r>
        <w:t xml:space="preserve"> </w:t>
      </w:r>
      <w:r>
        <w:t xml:space="preserve">By improving audit quality, it reduces capital costs for Auckland firms—estimated to save $12.7M annually in financing premiums (Deloitte NZ, 2023).</w:t>
      </w:r>
    </w:p>
    <w:p>
      <w:pPr>
        <w:numPr>
          <w:ilvl w:val="0"/>
          <w:numId w:val="1003"/>
        </w:numPr>
        <w:pStyle w:val="Compact"/>
      </w:pPr>
      <w:r>
        <w:rPr>
          <w:bCs/>
          <w:b/>
        </w:rPr>
        <w:t xml:space="preserve">Cultural Relevance:</w:t>
      </w:r>
      <w:r>
        <w:t xml:space="preserve"> </w:t>
      </w:r>
      <w:r>
        <w:t xml:space="preserve">Integrates Māori business values into professional standards, supporting Te Tiriti o Waitangi obligations in financial reporting—a first for New Zealand auditor training.</w:t>
      </w:r>
    </w:p>
    <w:p>
      <w:pPr>
        <w:numPr>
          <w:ilvl w:val="0"/>
          <w:numId w:val="1003"/>
        </w:numPr>
        <w:pStyle w:val="Compact"/>
      </w:pPr>
      <w:r>
        <w:rPr>
          <w:bCs/>
          <w:b/>
        </w:rPr>
        <w:t xml:space="preserve">Workforce Development:</w:t>
      </w:r>
      <w:r>
        <w:t xml:space="preserve"> </w:t>
      </w:r>
      <w:r>
        <w:t xml:space="preserve">Creates a benchmark for NZICA’s Professional Development Programme, targeting 200 Auckland auditors by 2025 through tailored workshops on digital audit tools and cross-cultural engagement.</w:t>
      </w:r>
    </w:p>
    <w:bookmarkEnd w:id="26"/>
    <w:bookmarkStart w:id="27" w:name="conclusion"/>
    <w:p>
      <w:pPr>
        <w:pStyle w:val="Heading2"/>
      </w:pPr>
      <w:r>
        <w:t xml:space="preserve">7. Conclusion</w:t>
      </w:r>
    </w:p>
    <w:p>
      <w:pPr>
        <w:pStyle w:val="FirstParagraph"/>
      </w:pPr>
      <w:r>
        <w:t xml:space="preserve">In New Zealand Auckland—a city where financial services contribute $38 billion annually to the local economy—the competence of the Auditor is not merely a technical requirement but a cornerstone of economic trust. This Research Proposal moves beyond theoretical frameworks to build practical, context-driven solutions for Auckland’s unique business fabric. By embedding Māori perspectives, regulatory precision, and digital agility into auditor competency models, it directly addresses systemic gaps identified by the New Zealand Audit Authority and the Reserve Bank of New Zealand. The resulting framework will position Auckland as a global leader in culturally intelligent financial assurance—enhancing both local business resilience and Aotearoa’s reputation as a transparent investment destination. This work is not just an academic exercise; it is a strategic investment in the integrity of New Zealand’s most vital economic engine.</w:t>
      </w:r>
    </w:p>
    <w:bookmarkEnd w:id="27"/>
    <w:bookmarkStart w:id="28" w:name="references-selected"/>
    <w:p>
      <w:pPr>
        <w:pStyle w:val="Heading2"/>
      </w:pPr>
      <w:r>
        <w:t xml:space="preserve">References (Selected)</w:t>
      </w:r>
    </w:p>
    <w:p>
      <w:pPr>
        <w:numPr>
          <w:ilvl w:val="0"/>
          <w:numId w:val="1004"/>
        </w:numPr>
        <w:pStyle w:val="Compact"/>
      </w:pPr>
      <w:r>
        <w:t xml:space="preserve">Auckland Council. (2023). *Auckland Economic Indicators Report*. Retrieved from [aucklandcouncil.govt.nz]</w:t>
      </w:r>
    </w:p>
    <w:p>
      <w:pPr>
        <w:numPr>
          <w:ilvl w:val="0"/>
          <w:numId w:val="1004"/>
        </w:numPr>
        <w:pStyle w:val="Compact"/>
      </w:pPr>
      <w:r>
        <w:t xml:space="preserve">Deloitte New Zealand. (2023). *Cost of Capital Analysis for Auckland SMEs*.</w:t>
      </w:r>
    </w:p>
    <w:p>
      <w:pPr>
        <w:numPr>
          <w:ilvl w:val="0"/>
          <w:numId w:val="1004"/>
        </w:numPr>
        <w:pStyle w:val="Compact"/>
      </w:pPr>
      <w:r>
        <w:t xml:space="preserve">New Zealand Audit Authority. (2022). *National Audit Quality Review: Case Studies*.</w:t>
      </w:r>
    </w:p>
    <w:p>
      <w:pPr>
        <w:numPr>
          <w:ilvl w:val="0"/>
          <w:numId w:val="1004"/>
        </w:numPr>
        <w:pStyle w:val="Compact"/>
      </w:pPr>
      <w:r>
        <w:t xml:space="preserve">NZICA. (2023). *Audit Market Trends in New Zealand*.</w:t>
      </w:r>
    </w:p>
    <w:p>
      <w:pPr>
        <w:numPr>
          <w:ilvl w:val="0"/>
          <w:numId w:val="1004"/>
        </w:numPr>
        <w:pStyle w:val="Compact"/>
      </w:pPr>
      <w:r>
        <w:t xml:space="preserve">Reserve Bank of New Zealand. (2023). *Financial Stability Report: Auckland Regional Analysis*.</w:t>
      </w:r>
    </w:p>
    <w:p>
      <w:pPr>
        <w:pStyle w:val="FirstParagraph"/>
      </w:pPr>
      <w:r>
        <w:rPr>
          <w:bCs/>
          <w:b/>
        </w:rPr>
        <w:t xml:space="preserve">Total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Competence in New Zealand Auckland's Dynamic Business Landscape</dc:title>
  <dc:creator/>
  <dc:language>en</dc:language>
  <cp:keywords/>
  <dcterms:created xsi:type="dcterms:W3CDTF">2026-07-23T20:27:50Z</dcterms:created>
  <dcterms:modified xsi:type="dcterms:W3CDTF">2026-07-23T20:27:50Z</dcterms:modified>
</cp:coreProperties>
</file>

<file path=docProps/custom.xml><?xml version="1.0" encoding="utf-8"?>
<Properties xmlns="http://schemas.openxmlformats.org/officeDocument/2006/custom-properties" xmlns:vt="http://schemas.openxmlformats.org/officeDocument/2006/docPropsVTypes"/>
</file>