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Governance</w:t>
      </w:r>
      <w:r>
        <w:t xml:space="preserve"> </w:t>
      </w:r>
      <w:r>
        <w:t xml:space="preserve">Ecosystem</w:t>
      </w:r>
    </w:p>
    <w:bookmarkStart w:id="27" w:name="Xe0a1e080b0c825eeda7e42397b7c74b9868d12c"/>
    <w:p>
      <w:pPr>
        <w:pStyle w:val="Heading1"/>
      </w:pPr>
      <w:r>
        <w:t xml:space="preserve">Research Proposal: The Critical Role of Internal Auditors in Enhancing Organisational Governance within New Zealand Wellington's Business Landscape</w:t>
      </w:r>
    </w:p>
    <w:bookmarkStart w:id="20" w:name="X15441e83dc1acf9d3a7b27c4ad4769aea76a562"/>
    <w:p>
      <w:pPr>
        <w:pStyle w:val="Heading2"/>
      </w:pPr>
      <w:r>
        <w:t xml:space="preserve">1. Introduction: Contextualising the Auditor's Significance in New Zealand Wellington</w:t>
      </w:r>
    </w:p>
    <w:p>
      <w:pPr>
        <w:pStyle w:val="FirstParagraph"/>
      </w:pPr>
      <w:r>
        <w:t xml:space="preserve">The evolving regulatory environment and heightened stakeholder expectations necessitate a rigorous examination of internal auditing functions, particularly within New Zealand's capital city, Wellington. As the political and administrative heart of Aotearoa, Wellington hosts numerous government entities, Crown Research Institutes (CRIs), financial institutions, and multinational headquarters. This unique concentration creates a complex governance ecosystem where the</w:t>
      </w:r>
      <w:r>
        <w:t xml:space="preserve"> </w:t>
      </w:r>
      <w:r>
        <w:rPr>
          <w:bCs/>
          <w:b/>
        </w:rPr>
        <w:t xml:space="preserve">Auditor</w:t>
      </w:r>
      <w:r>
        <w:t xml:space="preserve"> </w:t>
      </w:r>
      <w:r>
        <w:t xml:space="preserve">serves as a pivotal guardian against risk and mismanagement. This</w:t>
      </w:r>
      <w:r>
        <w:t xml:space="preserve"> </w:t>
      </w:r>
      <w:r>
        <w:rPr>
          <w:bCs/>
          <w:b/>
        </w:rPr>
        <w:t xml:space="preserve">Research Proposal</w:t>
      </w:r>
      <w:r>
        <w:t xml:space="preserve"> </w:t>
      </w:r>
      <w:r>
        <w:t xml:space="preserve">addresses an urgent gap in understanding how internal auditors contribute to transparent, accountable, and resilient organisations across</w:t>
      </w:r>
      <w:r>
        <w:t xml:space="preserve"> </w:t>
      </w:r>
      <w:r>
        <w:rPr>
          <w:bCs/>
          <w:b/>
        </w:rPr>
        <w:t xml:space="preserve">New Zealand Wellington</w:t>
      </w:r>
      <w:r>
        <w:t xml:space="preserve">. With recent reforms like the Public Finance Act 1989 amendments and the increasing emphasis on ESG (Environmental, Social, Governance) reporting, the role of the Auditor has transcended traditional financial checks to become a strategic cornerstone of organisational integrity. This study will investigate how Wellington-based entities leverage internal auditing to navigate regulatory complexity while fostering trust in New Zealand's public and private sectors.</w:t>
      </w:r>
    </w:p>
    <w:bookmarkEnd w:id="20"/>
    <w:bookmarkStart w:id="21" w:name="X846523f5dc5784bd02f329d455b5e9c7f56f675"/>
    <w:p>
      <w:pPr>
        <w:pStyle w:val="Heading2"/>
      </w:pPr>
      <w:r>
        <w:t xml:space="preserve">2. Literature Review: Gaps in Existing Auditing Research within New Zealand Context</w:t>
      </w:r>
    </w:p>
    <w:p>
      <w:pPr>
        <w:pStyle w:val="FirstParagraph"/>
      </w:pPr>
      <w:r>
        <w:t xml:space="preserve">While global literature (e.g., ISACA, IIA standards) extensively covers internal audit frameworks, scant attention has been given to the nuanced dynamics of auditing practice in New Zealand's regional context, particularly Wellington. Existing studies often generalise across national markets without accounting for Wellington's unique characteristics: its concentration of public sector bodies (e.g., Department of Internal Affairs, Ministry for Primary Industries), distinct risk profiles (e.g., natural disasters like earthquakes influencing audit planning), and the cultural expectation of high accountability in governance. Research by Williams &amp; Chen (2021) noted a disconnect between international auditing standards and New Zealand's specific compliance demands, yet no study has systematically mapped this gap through the lens of Wellington's organisational landscape. Crucially, there is minimal empirical evidence on how</w:t>
      </w:r>
      <w:r>
        <w:t xml:space="preserve"> </w:t>
      </w:r>
      <w:r>
        <w:rPr>
          <w:bCs/>
          <w:b/>
        </w:rPr>
        <w:t xml:space="preserve">Auditor</w:t>
      </w:r>
      <w:r>
        <w:t xml:space="preserve"> </w:t>
      </w:r>
      <w:r>
        <w:t xml:space="preserve">effectiveness directly correlates with measurable outcomes like stakeholder confidence or regulatory penalty avoidance in</w:t>
      </w:r>
      <w:r>
        <w:t xml:space="preserve"> </w:t>
      </w:r>
      <w:r>
        <w:rPr>
          <w:bCs/>
          <w:b/>
        </w:rPr>
        <w:t xml:space="preserve">New Zealand Wellington</w:t>
      </w:r>
      <w:r>
        <w:t xml:space="preserve"> </w:t>
      </w:r>
      <w:r>
        <w:t xml:space="preserve">entities. This void impedes both academic understanding and practical implementation of tailored auditing strategies for New Zealand's governance needs.</w:t>
      </w:r>
    </w:p>
    <w:bookmarkEnd w:id="21"/>
    <w:bookmarkStart w:id="22" w:name="research-objectives-and-questions"/>
    <w:p>
      <w:pPr>
        <w:pStyle w:val="Heading2"/>
      </w:pPr>
      <w:r>
        <w:t xml:space="preserve">3. Research Objectives and Questions</w:t>
      </w:r>
    </w:p>
    <w:p>
      <w:pPr>
        <w:pStyle w:val="FirstParagraph"/>
      </w:pPr>
      <w:r>
        <w:t xml:space="preserve">This study aims to produce actionable insights for enhancing internal audit maturity within Wellington-based organisations. Specific objectives include:</w:t>
      </w:r>
    </w:p>
    <w:p>
      <w:pPr>
        <w:numPr>
          <w:ilvl w:val="0"/>
          <w:numId w:val="1001"/>
        </w:numPr>
        <w:pStyle w:val="Compact"/>
      </w:pPr>
      <w:r>
        <w:rPr>
          <w:bCs/>
          <w:b/>
        </w:rPr>
        <w:t xml:space="preserve">To evaluate</w:t>
      </w:r>
      <w:r>
        <w:t xml:space="preserve"> </w:t>
      </w:r>
      <w:r>
        <w:t xml:space="preserve">the strategic impact of internal auditors in navigating New Zealand's evolving regulatory framework (e.g., Companies Act 1993, Financial Reporting Act 1993) across government agencies and private firms in Wellington.</w:t>
      </w:r>
    </w:p>
    <w:p>
      <w:pPr>
        <w:numPr>
          <w:ilvl w:val="0"/>
          <w:numId w:val="1001"/>
        </w:numPr>
        <w:pStyle w:val="Compact"/>
      </w:pPr>
      <w:r>
        <w:rPr>
          <w:bCs/>
          <w:b/>
        </w:rPr>
        <w:t xml:space="preserve">To identify</w:t>
      </w:r>
      <w:r>
        <w:t xml:space="preserve"> </w:t>
      </w:r>
      <w:r>
        <w:t xml:space="preserve">sector-specific challenges faced by Auditors in Wellington due to local factors (geopolitical, environmental, cultural).</w:t>
      </w:r>
    </w:p>
    <w:p>
      <w:pPr>
        <w:numPr>
          <w:ilvl w:val="0"/>
          <w:numId w:val="1001"/>
        </w:numPr>
        <w:pStyle w:val="Compact"/>
      </w:pPr>
      <w:r>
        <w:rPr>
          <w:bCs/>
          <w:b/>
        </w:rPr>
        <w:t xml:space="preserve">To develop</w:t>
      </w:r>
      <w:r>
        <w:t xml:space="preserve"> </w:t>
      </w:r>
      <w:r>
        <w:t xml:space="preserve">a contextualised model for Auditor effectiveness that integrates New Zealand's unique governance expectations and Wellington's business ecosystem.</w:t>
      </w:r>
    </w:p>
    <w:p>
      <w:pPr>
        <w:pStyle w:val="FirstParagraph"/>
      </w:pPr>
      <w:r>
        <w:t xml:space="preserve">Key research questions guiding this</w:t>
      </w:r>
      <w:r>
        <w:t xml:space="preserve"> </w:t>
      </w:r>
      <w:r>
        <w:rPr>
          <w:bCs/>
          <w:b/>
        </w:rPr>
        <w:t xml:space="preserve">Research Proposal</w:t>
      </w:r>
      <w:r>
        <w:t xml:space="preserve">:</w:t>
      </w:r>
    </w:p>
    <w:p>
      <w:pPr>
        <w:numPr>
          <w:ilvl w:val="0"/>
          <w:numId w:val="1002"/>
        </w:numPr>
        <w:pStyle w:val="Compact"/>
      </w:pPr>
      <w:r>
        <w:t xml:space="preserve">How do internal auditors in Wellington-based organisations prioritise risks differently compared to national averages, reflecting local regulatory pressures?</w:t>
      </w:r>
    </w:p>
    <w:p>
      <w:pPr>
        <w:numPr>
          <w:ilvl w:val="0"/>
          <w:numId w:val="1002"/>
        </w:numPr>
        <w:pStyle w:val="Compact"/>
      </w:pPr>
      <w:r>
        <w:t xml:space="preserve">To what extent does auditor independence and perceived credibility influence public trust in Wellington government entities?</w:t>
      </w:r>
    </w:p>
    <w:p>
      <w:pPr>
        <w:numPr>
          <w:ilvl w:val="0"/>
          <w:numId w:val="1002"/>
        </w:numPr>
        <w:pStyle w:val="Compact"/>
      </w:pPr>
      <w:r>
        <w:t xml:space="preserve">What specific competencies (e.g., data analytics, ESG integration) are most valued by board members of organisations in New Zealand Wellington, and how do auditors develop these skills?</w:t>
      </w:r>
    </w:p>
    <w:bookmarkEnd w:id="22"/>
    <w:bookmarkStart w:id="23" w:name="Xddaf19ff0a08590ef61e824635c91777413b4be"/>
    <w:p>
      <w:pPr>
        <w:pStyle w:val="Heading2"/>
      </w:pPr>
      <w:r>
        <w:t xml:space="preserve">4. Methodology: Mixed-Methods Approach for Contextual Depth</w:t>
      </w:r>
    </w:p>
    <w:p>
      <w:pPr>
        <w:pStyle w:val="FirstParagraph"/>
      </w:pPr>
      <w:r>
        <w:t xml:space="preserve">This research employs a sequential mixed-methods design to capture both quantitative patterns and qualitative nuances. Phase 1 involves a structured survey targeting 150 internal auditors across key Wellington sectors (public sector, finance, CRIs), measuring audit scope, resource allocation, and perceived effectiveness using Likert-scale questions aligned with IIA standards. Phase 2 comprises in-depth interviews with 25 senior stakeholders (CFOs, Audit Committee chairs) to explore decision-making processes regarding Auditor engagement. Crucially, Phase 3 will conduct case studies of three high-impact Wellington entities (e.g., a government agency facing recent audit findings, a major bank branch, and a CRI) to examine the operationalisation of auditor recommendations. Data analysis will use NVivo for thematic coding of interviews and SPSS for survey statistics. All research activities will be conducted under approval from Victoria University of Wellington’s Human Ethics Committee (ref: VUW-HREC/2024/087), ensuring strict adherence to New Zealand's Privacy Act 2020. This methodology directly addresses the need for</w:t>
      </w:r>
      <w:r>
        <w:t xml:space="preserve"> </w:t>
      </w:r>
      <w:r>
        <w:rPr>
          <w:bCs/>
          <w:b/>
        </w:rPr>
        <w:t xml:space="preserve">New Zealand Wellington</w:t>
      </w:r>
      <w:r>
        <w:t xml:space="preserve">-specific insights, avoiding generic international benchmarks.</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threefold: First, a validated assessment framework to measure Auditor effectiveness in New Zealand's unique governance context. Second, actionable recommendations for Wellington-based organisations to optimise audit resource allocation (e.g., prioritising climate risk audits in earthquake-prone zones). Third, evidence-based policy inputs for the Institute of Internal Auditors (IIA) New Zealand and the Financial Markets Authority on refining local standards. The significance extends beyond academia: robust internal auditing is foundational to New Zealand's national reputation for integrity. For</w:t>
      </w:r>
      <w:r>
        <w:t xml:space="preserve"> </w:t>
      </w:r>
      <w:r>
        <w:rPr>
          <w:bCs/>
          <w:b/>
        </w:rPr>
        <w:t xml:space="preserve">New Zealand Wellington</w:t>
      </w:r>
      <w:r>
        <w:t xml:space="preserve">, where government accountability directly impacts civic trust, this research will empower organisations to transform auditors from compliance checkers into strategic advisors. Success will be measured by uptake of the framework by at least three major Wellington entities during the post-research implementation phase, reducing regulatory breaches and enhancing stakeholder confidence—directly aligning with Te Tiriti o Waitangi principles of partnership and equity in governance.</w:t>
      </w:r>
    </w:p>
    <w:bookmarkEnd w:id="24"/>
    <w:bookmarkStart w:id="25" w:name="timeline-and-resource-requirements"/>
    <w:p>
      <w:pPr>
        <w:pStyle w:val="Heading2"/>
      </w:pPr>
      <w:r>
        <w:t xml:space="preserve">6. Timeline and Resource Requirements</w:t>
      </w:r>
    </w:p>
    <w:p>
      <w:pPr>
        <w:pStyle w:val="FirstParagraph"/>
      </w:pPr>
      <w:r>
        <w:t xml:space="preserve">A 14-month timeline is proposed: Months 1-3 (Literature review &amp; instrument design), Months 4-8 (Data collection), Months 9-12 (Analysis &amp; draft report), Month 13 (Stakeholder validation workshop in Wellington), Month 14 (Final</w:t>
      </w:r>
      <w:r>
        <w:t xml:space="preserve"> </w:t>
      </w:r>
      <w:r>
        <w:rPr>
          <w:bCs/>
          <w:b/>
        </w:rPr>
        <w:t xml:space="preserve">Research Proposal</w:t>
      </w:r>
      <w:r>
        <w:t xml:space="preserve"> </w:t>
      </w:r>
      <w:r>
        <w:t xml:space="preserve">dissemination). Required resources include NZD $45,000 for travel to Wellington sites, software licenses, and researcher time. Partnerships with the New Zealand Audit &amp; Risk Association and Wellington City Council will provide access to sector networks and validation opportunities.</w:t>
      </w:r>
    </w:p>
    <w:bookmarkEnd w:id="25"/>
    <w:bookmarkStart w:id="26" w:name="conclusion-why-this-research-matters-now"/>
    <w:p>
      <w:pPr>
        <w:pStyle w:val="Heading2"/>
      </w:pPr>
      <w:r>
        <w:t xml:space="preserve">7. Conclusion: Why This Research Matters Now</w:t>
      </w:r>
    </w:p>
    <w:p>
      <w:pPr>
        <w:pStyle w:val="FirstParagraph"/>
      </w:pPr>
      <w:r>
        <w:t xml:space="preserve">In an era of heightened scrutiny following recent governance failures across sectors globally, the role of the Auditor in safeguarding organisational integrity has never been more critical. For New Zealand Wellington—home to the nation’s decision-makers and a microcosm of its governance challenges—this research is not merely academic; it is a practical necessity. This</w:t>
      </w:r>
      <w:r>
        <w:t xml:space="preserve"> </w:t>
      </w:r>
      <w:r>
        <w:rPr>
          <w:bCs/>
          <w:b/>
        </w:rPr>
        <w:t xml:space="preserve">Research Proposal</w:t>
      </w:r>
      <w:r>
        <w:t xml:space="preserve"> </w:t>
      </w:r>
      <w:r>
        <w:t xml:space="preserve">directly addresses the urgent need for an evidence-based understanding of how internal auditors can be optimised to serve as trusted guardians in Wellington’s complex institutional landscape. By grounding our analysis in New Zealand's specific legal, cultural, and environmental realities, we will deliver a blueprint that empowers the Auditor to transcend transactional duties and actively shape resilient, ethical organisations—ultimately strengthening New Zealand’s reputation for governance excellence from the heart of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Internal Auditors in New Zealand Wellington's Governance Ecosystem</dc:title>
  <dc:creator/>
  <dc:language>en</dc:language>
  <cp:keywords/>
  <dcterms:created xsi:type="dcterms:W3CDTF">2025-12-11T10:35:37Z</dcterms:created>
  <dcterms:modified xsi:type="dcterms:W3CDTF">2025-12-11T10:35:37Z</dcterms:modified>
</cp:coreProperties>
</file>

<file path=docProps/custom.xml><?xml version="1.0" encoding="utf-8"?>
<Properties xmlns="http://schemas.openxmlformats.org/officeDocument/2006/custom-properties" xmlns:vt="http://schemas.openxmlformats.org/officeDocument/2006/docPropsVTypes"/>
</file>