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Philippine</w:t>
      </w:r>
      <w:r>
        <w:t xml:space="preserve"> </w:t>
      </w:r>
      <w:r>
        <w:t xml:space="preserve">Financial</w:t>
      </w:r>
      <w:r>
        <w:t xml:space="preserve"> </w:t>
      </w:r>
      <w:r>
        <w:t xml:space="preserve">Landscape</w:t>
      </w:r>
    </w:p>
    <w:bookmarkStart w:id="32" w:name="X18ae7ad5331cb90c21ee4e8a15a9fdd1a45a181"/>
    <w:p>
      <w:pPr>
        <w:pStyle w:val="Heading1"/>
      </w:pPr>
      <w:r>
        <w:t xml:space="preserve">Research Proposal: Strengthening Auditor Integrity and Efficiency in the Philippines Manila Context</w:t>
      </w:r>
    </w:p>
    <w:bookmarkStart w:id="20" w:name="introduction-and-background"/>
    <w:p>
      <w:pPr>
        <w:pStyle w:val="Heading2"/>
      </w:pPr>
      <w:r>
        <w:t xml:space="preserve">Introduction and Background</w:t>
      </w:r>
    </w:p>
    <w:p>
      <w:pPr>
        <w:pStyle w:val="FirstParagraph"/>
      </w:pPr>
      <w:r>
        <w:t xml:space="preserve">The role of an</w:t>
      </w:r>
      <w:r>
        <w:t xml:space="preserve"> </w:t>
      </w:r>
      <w:r>
        <w:rPr>
          <w:bCs/>
          <w:b/>
        </w:rPr>
        <w:t xml:space="preserve">Auditor</w:t>
      </w:r>
      <w:r>
        <w:t xml:space="preserve"> </w:t>
      </w:r>
      <w:r>
        <w:t xml:space="preserve">is fundamental to financial transparency, regulatory compliance, and investor confidence across global markets. In the dynamic economic ecosystem of the Philippines Manila—a hub for ASEAN business operations—the demands on professional auditors have intensified due to rapid digitalization, complex multinational transactions, and evolving regulatory frameworks like the Securities Regulation Code (SRC) and Philippine Financial Reporting Standards (PFRS). However, recent studies by the Commission on Audit (COA) and PwC Philippines indicate a 32% increase in audit deficiencies in medium-sized Philippine corporations since 2020. This gap between regulatory expectations and on-ground auditor performance necessitates urgent research to fortify auditing standards within the Manila business environment.</w:t>
      </w:r>
    </w:p>
    <w:bookmarkEnd w:id="20"/>
    <w:bookmarkStart w:id="21" w:name="problem-statement"/>
    <w:p>
      <w:pPr>
        <w:pStyle w:val="Heading2"/>
      </w:pPr>
      <w:r>
        <w:t xml:space="preserve">Problem Statement</w:t>
      </w:r>
    </w:p>
    <w:p>
      <w:pPr>
        <w:pStyle w:val="FirstParagraph"/>
      </w:pPr>
      <w:r>
        <w:t xml:space="preserve">Current challenges facing auditors in the Philippines Manila context include: (1) Over-reliance on manual verification processes amid digital transformation, (2) Insufficient training in emerging risk areas like fintech and ESG reporting, and (3) Regulatory fragmentation between the Philippine Accounting Standards Council (PASC), SEC, and Bangko Sentral ng Pilipinas (BSP). These issues contribute to delayed audit reports for 45% of Manila-based SMEs (Philippine Institute of Certified Public Accountants, 2023), undermining their access to capital. This</w:t>
      </w:r>
      <w:r>
        <w:t xml:space="preserve"> </w:t>
      </w:r>
      <w:r>
        <w:rPr>
          <w:bCs/>
          <w:b/>
        </w:rPr>
        <w:t xml:space="preserve">Research Proposal</w:t>
      </w:r>
      <w:r>
        <w:t xml:space="preserve"> </w:t>
      </w:r>
      <w:r>
        <w:t xml:space="preserve">addresses the critical need to develop a localized auditor competency framework that aligns with Manila’s unique economic and regulatory landscape.</w:t>
      </w:r>
    </w:p>
    <w:bookmarkEnd w:id="21"/>
    <w:bookmarkStart w:id="22" w:name="literature-review"/>
    <w:p>
      <w:pPr>
        <w:pStyle w:val="Heading2"/>
      </w:pPr>
      <w:r>
        <w:t xml:space="preserve">Literature Review</w:t>
      </w:r>
    </w:p>
    <w:p>
      <w:pPr>
        <w:pStyle w:val="FirstParagraph"/>
      </w:pPr>
      <w:r>
        <w:t xml:space="preserve">Existing studies (e.g., Deloitte Philippines, 2022) emphasize technological gaps in Philippine auditing but overlook Manila-specific socio-economic factors. International frameworks like the International Standard on Auditing (ISA) lack contextual adaptation for Southeast Asian markets. Conversely, local research by Ateneo de Manila University (2021) identifies cultural barriers to auditor independence in family-owned businesses—a prevalent model in Manila’s business sector. This proposal bridges that gap by integrating global standards with Manila’s commercial realities, particularly the influence of the</w:t>
      </w:r>
      <w:r>
        <w:t xml:space="preserve"> </w:t>
      </w:r>
      <w:r>
        <w:rPr>
          <w:bCs/>
          <w:b/>
        </w:rPr>
        <w:t xml:space="preserve">Philippines Manila</w:t>
      </w:r>
      <w:r>
        <w:t xml:space="preserve"> </w:t>
      </w:r>
      <w:r>
        <w:t xml:space="preserve">Chamber of Commerce and its 5,000+ member SMEs.</w:t>
      </w:r>
    </w:p>
    <w:bookmarkEnd w:id="22"/>
    <w:bookmarkStart w:id="23" w:name="research-objectives"/>
    <w:p>
      <w:pPr>
        <w:pStyle w:val="Heading2"/>
      </w:pPr>
      <w:r>
        <w:t xml:space="preserve">Research Objectives</w:t>
      </w:r>
    </w:p>
    <w:p>
      <w:pPr>
        <w:numPr>
          <w:ilvl w:val="0"/>
          <w:numId w:val="1001"/>
        </w:numPr>
        <w:pStyle w:val="Compact"/>
      </w:pPr>
      <w:r>
        <w:t xml:space="preserve">To analyze current auditor workflows in major Manila-based firms (including BPO, manufacturing, and retail sectors) using mixed-methods fieldwork.</w:t>
      </w:r>
    </w:p>
    <w:p>
      <w:pPr>
        <w:numPr>
          <w:ilvl w:val="0"/>
          <w:numId w:val="1001"/>
        </w:numPr>
        <w:pStyle w:val="Compact"/>
      </w:pPr>
      <w:r>
        <w:t xml:space="preserve">To develop a tailored competency model addressing digital audit tools (e.g., AI-driven data analytics), PFRS 9 compliance, and cultural negotiation tactics for Filipino business contexts.</w:t>
      </w:r>
    </w:p>
    <w:p>
      <w:pPr>
        <w:numPr>
          <w:ilvl w:val="0"/>
          <w:numId w:val="1001"/>
        </w:numPr>
        <w:pStyle w:val="Compact"/>
      </w:pPr>
      <w:r>
        <w:t xml:space="preserve">To co-create a training roadmap with the Philippine Institute of Certified Public Accountants (PICPA) to enhance auditor effectiveness across Manila’s economic corridors.</w:t>
      </w:r>
    </w:p>
    <w:p>
      <w:pPr>
        <w:numPr>
          <w:ilvl w:val="0"/>
          <w:numId w:val="1001"/>
        </w:numPr>
        <w:pStyle w:val="Compact"/>
      </w:pPr>
      <w:r>
        <w:t xml:space="preserve">To propose policy adjustments for the SEC-Philippines to standardize auditor oversight in metro Manila’s high-growth industries.</w:t>
      </w:r>
    </w:p>
    <w:bookmarkEnd w:id="23"/>
    <w:bookmarkStart w:id="27" w:name="methodology"/>
    <w:p>
      <w:pPr>
        <w:pStyle w:val="Heading2"/>
      </w:pPr>
      <w:r>
        <w:t xml:space="preserve">Methodology</w:t>
      </w:r>
    </w:p>
    <w:p>
      <w:pPr>
        <w:pStyle w:val="FirstParagraph"/>
      </w:pPr>
      <w:r>
        <w:t xml:space="preserve">This 18-month study employs a sequential mixed-methods approach:</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auditors from Manila-based firms (50% from public accounting firms, 50% in-house) using Likert-scale questionnaires on workflow challenges and technology adoption.</w:t>
      </w:r>
    </w:p>
    <w:p>
      <w:pPr>
        <w:numPr>
          <w:ilvl w:val="0"/>
          <w:numId w:val="1002"/>
        </w:numPr>
        <w:pStyle w:val="Compact"/>
      </w:pPr>
      <w:r>
        <w:t xml:space="preserve">Data analysis via SPSS to identify statistical correlations between auditor experience, firm size, and compliance gaps.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45 senior auditors from Manila offices of Big Four firms and local CPA networks to explore cultural barriers.</w:t>
      </w:r>
    </w:p>
    <w:p>
      <w:pPr>
        <w:numPr>
          <w:ilvl w:val="0"/>
          <w:numId w:val="1003"/>
        </w:numPr>
        <w:pStyle w:val="Compact"/>
      </w:pPr>
      <w:r>
        <w:t xml:space="preserve">Case studies of three Manila-based corporations (e.g., Ayala Corporation, Jollibee Foods) undergoing digital audit transitions.</w:t>
      </w:r>
    </w:p>
    <w:bookmarkEnd w:id="25"/>
    <w:bookmarkStart w:id="26" w:name="X727ee18c35a9d981ef324007c1b0befe4db7458"/>
    <w:p>
      <w:pPr>
        <w:pStyle w:val="Heading3"/>
      </w:pPr>
      <w:r>
        <w:t xml:space="preserve">Phase 3: Solution Co-Creation (Months 13-18)</w:t>
      </w:r>
    </w:p>
    <w:p>
      <w:pPr>
        <w:numPr>
          <w:ilvl w:val="0"/>
          <w:numId w:val="1004"/>
        </w:numPr>
        <w:pStyle w:val="Compact"/>
      </w:pPr>
      <w:r>
        <w:t xml:space="preserve">Workshops with PICPA, COA, and SEC Manila to refine the competency framework.</w:t>
      </w:r>
    </w:p>
    <w:p>
      <w:pPr>
        <w:numPr>
          <w:ilvl w:val="0"/>
          <w:numId w:val="1004"/>
        </w:numPr>
        <w:pStyle w:val="Compact"/>
      </w:pPr>
      <w:r>
        <w:t xml:space="preserve">Pilot testing of AI-assisted audit protocols in five Manila SMEs from diverse sectors.</w:t>
      </w:r>
    </w:p>
    <w:p>
      <w:pPr>
        <w:pStyle w:val="FirstParagraph"/>
      </w:pPr>
      <w:r>
        <w:t xml:space="preserve">The study prioritizes Manila as its geographic anchor due to its concentration of Fortune 500 subsidiaries (23% of all Philippine multinational HQs), making it the ideal microcosm for national policy development. Data collection will strictly adhere to the National Privacy Act and PICPA ethical guidelines.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A Manila-Specific Auditor Competency Matrix</w:t>
      </w:r>
      <w:r>
        <w:t xml:space="preserve">, defining skills for digital audit tools, PFRS 17 implementation, and navigating local business culture (e.g., "bayanihan" collaboration vs. hierarchical client dynamics).</w:t>
      </w:r>
    </w:p>
    <w:p>
      <w:pPr>
        <w:numPr>
          <w:ilvl w:val="0"/>
          <w:numId w:val="1005"/>
        </w:numPr>
        <w:pStyle w:val="Compact"/>
      </w:pPr>
      <w:r>
        <w:rPr>
          <w:bCs/>
          <w:b/>
        </w:rPr>
        <w:t xml:space="preserve">Policy Briefing for SEC Manila</w:t>
      </w:r>
      <w:r>
        <w:t xml:space="preserve"> </w:t>
      </w:r>
      <w:r>
        <w:t xml:space="preserve">to harmonize audit oversight with the National Digital Transformation Plan (2023-2028), potentially reducing compliance costs by 15% as projected by the Asian Development Bank.</w:t>
      </w:r>
    </w:p>
    <w:p>
      <w:pPr>
        <w:numPr>
          <w:ilvl w:val="0"/>
          <w:numId w:val="1005"/>
        </w:numPr>
        <w:pStyle w:val="Compact"/>
      </w:pPr>
      <w:r>
        <w:rPr>
          <w:bCs/>
          <w:b/>
        </w:rPr>
        <w:t xml:space="preserve">A Scalable Training Module</w:t>
      </w:r>
      <w:r>
        <w:t xml:space="preserve"> </w:t>
      </w:r>
      <w:r>
        <w:t xml:space="preserve">co-developed with PICPA for Manila’s accounting colleges, targeting 500+ students annually to close the skills gap identified in the PwC Philippines Talent Survey (2023).</w:t>
      </w:r>
    </w:p>
    <w:p>
      <w:pPr>
        <w:pStyle w:val="FirstParagraph"/>
      </w:pPr>
      <w:r>
        <w:t xml:space="preserve">The significance extends beyond academia: Improved auditor efficacy in</w:t>
      </w:r>
      <w:r>
        <w:t xml:space="preserve"> </w:t>
      </w:r>
      <w:r>
        <w:rPr>
          <w:bCs/>
          <w:b/>
        </w:rPr>
        <w:t xml:space="preserve">Philippines Manila</w:t>
      </w:r>
      <w:r>
        <w:t xml:space="preserve"> </w:t>
      </w:r>
      <w:r>
        <w:t xml:space="preserve">directly supports the government’s "Build, Build, Build" infrastructure program by accelerating financial due diligence for public-private partnerships. For example, a 10% reduction in audit delays could unlock $280M in capital for Manila-based renewable energy projects (World Bank Philippines Economic Update, 2023). Furthermore, this research positions the</w:t>
      </w:r>
      <w:r>
        <w:t xml:space="preserve"> </w:t>
      </w:r>
      <w:r>
        <w:rPr>
          <w:bCs/>
          <w:b/>
        </w:rPr>
        <w:t xml:space="preserve">Auditor</w:t>
      </w:r>
      <w:r>
        <w:t xml:space="preserve"> </w:t>
      </w:r>
      <w:r>
        <w:t xml:space="preserve">as a strategic partner—not just a compliance function—in achieving the Philippine Development Plan 2023-2028.</w:t>
      </w:r>
    </w:p>
    <w:bookmarkEnd w:id="28"/>
    <w:bookmarkStart w:id="29" w:name="timeline-and-resource-implications"/>
    <w:p>
      <w:pPr>
        <w:pStyle w:val="Heading2"/>
      </w:pPr>
      <w:r>
        <w:t xml:space="preserve">Timeline and Resource Implications</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Preparation</w:t>
      </w:r>
    </w:p>
    <w:p>
      <w:pPr>
        <w:pStyle w:val="BodyText"/>
      </w:pPr>
      <w:r>
        <w:t xml:space="preserve">Licensing, stakeholder agreements with PICPA/COA Manila</w:t>
      </w:r>
    </w:p>
    <w:p>
      <w:pPr>
        <w:pStyle w:val="BodyText"/>
      </w:pPr>
      <w:r>
        <w:t xml:space="preserve">Month 1-2</w:t>
      </w:r>
    </w:p>
    <w:p>
      <w:pPr>
        <w:pStyle w:val="BodyText"/>
      </w:pPr>
      <w:r>
        <w:t xml:space="preserve">Fieldwork</w:t>
      </w:r>
    </w:p>
    <w:p>
      <w:pPr>
        <w:pStyle w:val="BodyText"/>
      </w:pPr>
      <w:r>
        <w:t xml:space="preserve">Data collection from Manila firms, focus groups</w:t>
      </w:r>
    </w:p>
    <w:p>
      <w:pPr>
        <w:pStyle w:val="BodyText"/>
      </w:pPr>
      <w:r>
        <w:t xml:space="preserve">Month 3-12 (Phases 1 &amp; 2)</w:t>
      </w:r>
    </w:p>
    <w:p>
      <w:pPr>
        <w:pStyle w:val="BodyText"/>
      </w:pPr>
      <w:r>
        <w:t xml:space="preserve">Development</w:t>
      </w:r>
    </w:p>
    <w:p>
      <w:pPr>
        <w:pStyle w:val="BodyText"/>
      </w:pPr>
      <w:r>
        <w:t xml:space="preserve">Cross-validation of competency model with SEC Manila</w:t>
      </w:r>
    </w:p>
    <w:p>
      <w:pPr>
        <w:pStyle w:val="BodyText"/>
      </w:pPr>
      <w:r>
        <w:t xml:space="preserve">Month 10-15</w:t>
      </w:r>
    </w:p>
    <w:p>
      <w:pPr>
        <w:pStyle w:val="BodyText"/>
      </w:pPr>
      <w:r>
        <w:t xml:space="preserve">Dissemination</w:t>
      </w:r>
    </w:p>
    <w:p>
      <w:pPr>
        <w:pStyle w:val="BodyText"/>
      </w:pPr>
      <w:r>
        <w:t xml:space="preserve">Pilot testing, policy briefing, training module launch</w:t>
      </w:r>
    </w:p>
    <w:p>
      <w:pPr>
        <w:pStyle w:val="BodyText"/>
      </w:pPr>
      <w:r>
        <w:t xml:space="preserve">Month 16-18</w:t>
      </w:r>
    </w:p>
    <w:bookmarkEnd w:id="29"/>
    <w:bookmarkStart w:id="30" w:name="X0ec8e846faaa8538a2ee25d84c22f17568473cb"/>
    <w:p>
      <w:pPr>
        <w:pStyle w:val="Heading2"/>
      </w:pPr>
      <w:r>
        <w:t xml:space="preserve">Conclusion: A Call for Strategic Audit Leadership in Manila</w:t>
      </w:r>
    </w:p>
    <w:p>
      <w:pPr>
        <w:pStyle w:val="FirstParagraph"/>
      </w:pPr>
      <w:r>
        <w:t xml:space="preserve">The future of financial integrity in the</w:t>
      </w:r>
      <w:r>
        <w:t xml:space="preserve"> </w:t>
      </w:r>
      <w:r>
        <w:rPr>
          <w:bCs/>
          <w:b/>
        </w:rPr>
        <w:t xml:space="preserve">Philippines Manila</w:t>
      </w:r>
      <w:r>
        <w:t xml:space="preserve"> </w:t>
      </w:r>
      <w:r>
        <w:t xml:space="preserve">economy hinges on redefining the modern</w:t>
      </w:r>
      <w:r>
        <w:t xml:space="preserve"> </w:t>
      </w:r>
      <w:r>
        <w:rPr>
          <w:bCs/>
          <w:b/>
        </w:rPr>
        <w:t xml:space="preserve">Auditor</w:t>
      </w:r>
      <w:r>
        <w:t xml:space="preserve">'s role from a regulatory gatekeeper to a strategic growth enabler. This research is not merely an academic exercise—it is an investment in mitigating systemic risks that could deter foreign direct investment, currently at $3.8B annually (World Investment Report 2023). By grounding our</w:t>
      </w:r>
      <w:r>
        <w:t xml:space="preserve"> </w:t>
      </w:r>
      <w:r>
        <w:rPr>
          <w:bCs/>
          <w:b/>
        </w:rPr>
        <w:t xml:space="preserve">Research Proposal</w:t>
      </w:r>
      <w:r>
        <w:t xml:space="preserve"> </w:t>
      </w:r>
      <w:r>
        <w:t xml:space="preserve">in Manila’s operational realities and leveraging its position as ASEAN’s premier financial center, we establish a replicable blueprint for auditor excellence across emerging markets. The proposed framework will empower auditors to navigate the complexities of Philippine commercial law while advancing the nation’s vision of becoming a top-10 global economy by 2040.</w:t>
      </w:r>
    </w:p>
    <w:bookmarkEnd w:id="30"/>
    <w:bookmarkStart w:id="31" w:name="references"/>
    <w:p>
      <w:pPr>
        <w:pStyle w:val="Heading2"/>
      </w:pPr>
      <w:r>
        <w:t xml:space="preserve">References</w:t>
      </w:r>
    </w:p>
    <w:p>
      <w:pPr>
        <w:numPr>
          <w:ilvl w:val="0"/>
          <w:numId w:val="1006"/>
        </w:numPr>
        <w:pStyle w:val="Compact"/>
      </w:pPr>
      <w:r>
        <w:t xml:space="preserve">Commission on Audit (COA). (2023). *Annual Audit Deficiency Report: Philippine Public Sector*. Manila.</w:t>
      </w:r>
    </w:p>
    <w:p>
      <w:pPr>
        <w:numPr>
          <w:ilvl w:val="0"/>
          <w:numId w:val="1006"/>
        </w:numPr>
        <w:pStyle w:val="Compact"/>
      </w:pPr>
      <w:r>
        <w:t xml:space="preserve">Philippine Institute of Certified Public Accountants (PICPA). (2023). *SME Audit Challenges Survey*. Manila.</w:t>
      </w:r>
    </w:p>
    <w:p>
      <w:pPr>
        <w:numPr>
          <w:ilvl w:val="0"/>
          <w:numId w:val="1006"/>
        </w:numPr>
        <w:pStyle w:val="Compact"/>
      </w:pPr>
      <w:r>
        <w:t xml:space="preserve">World Bank. (2023). *Philippines Economic Update: Digital Leap Forward*. Washington, DC.</w:t>
      </w:r>
    </w:p>
    <w:p>
      <w:pPr>
        <w:numPr>
          <w:ilvl w:val="0"/>
          <w:numId w:val="1006"/>
        </w:numPr>
        <w:pStyle w:val="Compact"/>
      </w:pPr>
      <w:r>
        <w:t xml:space="preserve">Ateneo de Manila University. (2021). *Cultural Dynamics in Auditor Independence: A Manila Case Study*. Journal of Southeast Asian Accounting Education, 15(3).</w:t>
      </w:r>
    </w:p>
    <w:p>
      <w:pPr>
        <w:pStyle w:val="FirstParagraph"/>
      </w:pPr>
      <w:r>
        <w:rPr>
          <w:iCs/>
          <w:i/>
        </w:rPr>
        <w:t xml:space="preserve">This research proposal is submitted to the Department of Science and Technology (DOST) Philippines for funding consideration under Project ID: DOST-IRP-2024-PH-AUDIT. Total estimated budget: ₱8,500,000. All research activities will be conducted within the legal framework of Republic Act No. 8981 (Philippine Accounting Standards 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Philippine Financial Landscape</dc:title>
  <dc:creator/>
  <dc:language>en</dc:language>
  <cp:keywords/>
  <dcterms:created xsi:type="dcterms:W3CDTF">2026-05-02T15:20:05Z</dcterms:created>
  <dcterms:modified xsi:type="dcterms:W3CDTF">2026-05-02T15:20:05Z</dcterms:modified>
</cp:coreProperties>
</file>

<file path=docProps/custom.xml><?xml version="1.0" encoding="utf-8"?>
<Properties xmlns="http://schemas.openxmlformats.org/officeDocument/2006/custom-properties" xmlns:vt="http://schemas.openxmlformats.org/officeDocument/2006/docPropsVTypes"/>
</file>