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Financial</w:t>
      </w:r>
      <w:r>
        <w:t xml:space="preserve"> </w:t>
      </w:r>
      <w:r>
        <w:t xml:space="preserve">Landscape</w:t>
      </w:r>
    </w:p>
    <w:bookmarkStart w:id="29" w:name="X5caa6c5e1fb2aab4a77d7d77d8c6ed2ffa267bb"/>
    <w:p>
      <w:pPr>
        <w:pStyle w:val="Heading1"/>
      </w:pPr>
      <w:r>
        <w:t xml:space="preserve">Research Proposal: Strengthening Auditor Integrity and Competency within Qatar Doha's Dynamic Economic Ecosystem</w:t>
      </w:r>
    </w:p>
    <w:bookmarkStart w:id="20" w:name="abstract"/>
    <w:p>
      <w:pPr>
        <w:pStyle w:val="Heading2"/>
      </w:pPr>
      <w:r>
        <w:t xml:space="preserve">Abstract</w:t>
      </w:r>
    </w:p>
    <w:p>
      <w:pPr>
        <w:pStyle w:val="FirstParagraph"/>
      </w:pPr>
      <w:r>
        <w:t xml:space="preserve">This Research Proposal investigates the critical role of the Auditor in ensuring financial transparency, regulatory compliance, and sustainable economic growth within Qatar Doha. As Qatar advances its Vision 2030 objectives through massive infrastructure projects (e.g., World Cup legacy assets), expansion of the Qatar Financial Centre (QFC), and diversification into fintech and renewable energy, the demands on professional Auditors have intensified significantly. This study aims to identify systemic challenges facing Auditors operating in Doha, assess the impact of evolving Qatari regulations on audit quality, and propose evidence-based strategies to elevate auditor effectiveness. The findings will directly inform policymakers at Qatar Financial Centre Regulatory Authority (QFCRA), the Ministry of Finance (MoF), and leading auditing firms headquartered or operating within Qatar Doha, ensuring audits serve as robust guardians of investor confidence and national economic integrity.</w:t>
      </w:r>
    </w:p>
    <w:bookmarkEnd w:id="20"/>
    <w:bookmarkStart w:id="21" w:name="X27ac5922e8ea7d7ca22a22a3bc94cf3959e9cf4"/>
    <w:p>
      <w:pPr>
        <w:pStyle w:val="Heading2"/>
      </w:pPr>
      <w:r>
        <w:t xml:space="preserve">1. Introduction: The Imperative for Auditor Excellence in Qatar Doha</w:t>
      </w:r>
    </w:p>
    <w:p>
      <w:pPr>
        <w:pStyle w:val="FirstParagraph"/>
      </w:pPr>
      <w:r>
        <w:t xml:space="preserve">Qatar Doha stands at the epicenter of rapid socioeconomic transformation. The nation's strategic investments in mega-projects, foreign direct investment (FDI) inflows, and the development of a globally competitive financial hub place unprecedented pressure on the accounting and auditing profession. The Auditor is no longer merely a compliance function; they are pivotal stakeholders in safeguarding Qatar's reputation as a reliable investment destination. However, unique contextual factors—including complex ownership structures of state-linked entities (e.g., Qatari Diar, Qatar Investment Authority), high levels of expatriate workforce management challenges, and the swift adaptation to international financial reporting standards (IFRS) within a culturally nuanced environment—create distinct audit complexities. This Research Proposal addresses the urgent need to understand how Auditors in Qatar Doha navigate these pressures and what institutional support mechanisms are required to optimize their performance for national development goals.</w:t>
      </w:r>
    </w:p>
    <w:bookmarkEnd w:id="21"/>
    <w:bookmarkStart w:id="22" w:name="Xe22ffb0a31fa57e3c75e535e5bf50a978d9fc00"/>
    <w:p>
      <w:pPr>
        <w:pStyle w:val="Heading2"/>
      </w:pPr>
      <w:r>
        <w:t xml:space="preserve">2. Problem Statement: Challenges Facing the Auditor in Qatar Doha</w:t>
      </w:r>
    </w:p>
    <w:p>
      <w:pPr>
        <w:pStyle w:val="FirstParagraph"/>
      </w:pPr>
      <w:r>
        <w:t xml:space="preserve">Current evidence suggests several critical gaps hinder the Auditor's effectiveness within Qatar Doha:</w:t>
      </w:r>
    </w:p>
    <w:p>
      <w:pPr>
        <w:numPr>
          <w:ilvl w:val="0"/>
          <w:numId w:val="1001"/>
        </w:numPr>
        <w:pStyle w:val="Compact"/>
      </w:pPr>
      <w:r>
        <w:rPr>
          <w:bCs/>
          <w:b/>
        </w:rPr>
        <w:t xml:space="preserve">Regulatory Complexity:</w:t>
      </w:r>
      <w:r>
        <w:t xml:space="preserve"> </w:t>
      </w:r>
      <w:r>
        <w:t xml:space="preserve">Navigating overlapping frameworks (QFC Regulations, MoF directives, international standards) creates confusion and inconsistent audit application across diverse entities in Doha.</w:t>
      </w:r>
    </w:p>
    <w:p>
      <w:pPr>
        <w:numPr>
          <w:ilvl w:val="0"/>
          <w:numId w:val="1001"/>
        </w:numPr>
        <w:pStyle w:val="Compact"/>
      </w:pPr>
      <w:r>
        <w:rPr>
          <w:bCs/>
          <w:b/>
        </w:rPr>
        <w:t xml:space="preserve">Cultural &amp; Organizational Dynamics:</w:t>
      </w:r>
      <w:r>
        <w:t xml:space="preserve"> </w:t>
      </w:r>
      <w:r>
        <w:t xml:space="preserve">Auditors often encounter resistance from management in traditional Qatari family businesses or state-owned enterprises regarding audit scope and findings, impacting independence.</w:t>
      </w:r>
    </w:p>
    <w:p>
      <w:pPr>
        <w:numPr>
          <w:ilvl w:val="0"/>
          <w:numId w:val="1001"/>
        </w:numPr>
        <w:pStyle w:val="Compact"/>
      </w:pPr>
      <w:r>
        <w:rPr>
          <w:bCs/>
          <w:b/>
        </w:rPr>
        <w:t xml:space="preserve">Skill Gaps:</w:t>
      </w:r>
      <w:r>
        <w:t xml:space="preserve"> </w:t>
      </w:r>
      <w:r>
        <w:t xml:space="preserve">Rapid sectoral growth (e.g., construction, hospitality post-World Cup) outpaces the development of specialized audit skills among local and international firms operating in Doha.</w:t>
      </w:r>
    </w:p>
    <w:p>
      <w:pPr>
        <w:numPr>
          <w:ilvl w:val="0"/>
          <w:numId w:val="1001"/>
        </w:numPr>
        <w:pStyle w:val="Compact"/>
      </w:pPr>
      <w:r>
        <w:rPr>
          <w:bCs/>
          <w:b/>
        </w:rPr>
        <w:t xml:space="preserve">Technology Adoption:</w:t>
      </w:r>
      <w:r>
        <w:t xml:space="preserve"> </w:t>
      </w:r>
      <w:r>
        <w:t xml:space="preserve">While global trends embrace AI and data analytics for auditing, uptake within Qatar Doha's audit firms remains uneven, potentially reducing efficiency and risk detection capabilities.</w:t>
      </w:r>
    </w:p>
    <w:p>
      <w:pPr>
        <w:pStyle w:val="FirstParagraph"/>
      </w:pPr>
      <w:r>
        <w:t xml:space="preserve">These challenges collectively threaten the quality of audits, increasing financial reporting risks and potentially undermining investor trust crucial for sustaining Qatar's economic diversification efforts.</w:t>
      </w:r>
    </w:p>
    <w:bookmarkEnd w:id="22"/>
    <w:bookmarkStart w:id="23" w:name="Xd5a9ac909aec19cdd33ef6500506fb435068fe6"/>
    <w:p>
      <w:pPr>
        <w:pStyle w:val="Heading2"/>
      </w:pPr>
      <w:r>
        <w:t xml:space="preserve">3. Literature Review: Contextualizing the Auditor in Gulf Economies</w:t>
      </w:r>
    </w:p>
    <w:p>
      <w:pPr>
        <w:pStyle w:val="FirstParagraph"/>
      </w:pPr>
      <w:r>
        <w:t xml:space="preserve">Existing literature on auditing in GCC countries (e.g., studies by Al-Sa'd &amp; Al-Rajhi, 2019; Omer &amp; Abubakar, 2021) highlights common themes of regulatory harmonization needs and cultural influences on auditor independence. However, few studies focus specifically on the unique dynamics within Qatar Doha's rapidly evolving post-World Cup financial services sector or the QFC as a dedicated regulatory environment. This gap necessitates localized research to move beyond generic Gulf insights and address Doha-specific pressures like managing audits for hyper-growth sectors (e.g., energy transition projects) and integrating digital transformation in a region where regulatory tech adoption is still maturing.</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regulatory landscape governing Auditors within Qatar Doha, identifying inconsistencies and implementation bottlenecks.</w:t>
      </w:r>
    </w:p>
    <w:p>
      <w:pPr>
        <w:numPr>
          <w:ilvl w:val="0"/>
          <w:numId w:val="1002"/>
        </w:numPr>
        <w:pStyle w:val="Compact"/>
      </w:pPr>
      <w:r>
        <w:t xml:space="preserve">To assess the perceived challenges faced by Auditors (both local Qatari professionals and international firm staff) in Doha through qualitative analysis of key stakeholders.</w:t>
      </w:r>
    </w:p>
    <w:p>
      <w:pPr>
        <w:numPr>
          <w:ilvl w:val="0"/>
          <w:numId w:val="1002"/>
        </w:numPr>
        <w:pStyle w:val="Compact"/>
      </w:pPr>
      <w:r>
        <w:t xml:space="preserve">To evaluate the impact of emerging technologies on audit quality and efficiency within firms operating in Qatar Doha.</w:t>
      </w:r>
    </w:p>
    <w:p>
      <w:pPr>
        <w:numPr>
          <w:ilvl w:val="0"/>
          <w:numId w:val="1002"/>
        </w:numPr>
        <w:pStyle w:val="Compact"/>
      </w:pPr>
      <w:r>
        <w:t xml:space="preserve">To develop a practical framework for enhancing Auditor competency, independence, and effectiveness aligned with Qatar Vision 2030 and global best practices.</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3"/>
        </w:numPr>
        <w:pStyle w:val="Compact"/>
      </w:pPr>
      <w:r>
        <w:rPr>
          <w:bCs/>
          <w:b/>
        </w:rPr>
        <w:t xml:space="preserve">Phase 1 (Quantitative):</w:t>
      </w:r>
      <w:r>
        <w:t xml:space="preserve"> </w:t>
      </w:r>
      <w:r>
        <w:t xml:space="preserve">Survey of 150+ Auditors from major international firms (PwC, EY, KPMG in Doha), Qatari audit firms, and client companies within the QFC and main Doha business districts. Measures include regulatory compliance satisfaction, technology usage rates, and perceived independence challenges.</w:t>
      </w:r>
    </w:p>
    <w:p>
      <w:pPr>
        <w:numPr>
          <w:ilvl w:val="0"/>
          <w:numId w:val="1003"/>
        </w:numPr>
        <w:pStyle w:val="Compact"/>
      </w:pPr>
      <w:r>
        <w:rPr>
          <w:bCs/>
          <w:b/>
        </w:rPr>
        <w:t xml:space="preserve">Phase 2 (Qualitative):</w:t>
      </w:r>
      <w:r>
        <w:t xml:space="preserve"> </w:t>
      </w:r>
      <w:r>
        <w:t xml:space="preserve">In-depth interviews with 30 key informants: Senior Auditors at major firms in Qatar Doha, QFCRA regulators, MoF officials, and representatives of large Qatari entities. Focuses on contextual challenges and solution pathways.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Cross-referencing findings with global audit quality frameworks (e.g., IAASB standards) to propose a Qatar-specific Auditor enhancement model.</w:t>
      </w:r>
    </w:p>
    <w:bookmarkEnd w:id="25"/>
    <w:bookmarkStart w:id="26" w:name="X84de36593d6bd8c5343255aa14f5809bdad1831"/>
    <w:p>
      <w:pPr>
        <w:pStyle w:val="Heading2"/>
      </w:pPr>
      <w:r>
        <w:t xml:space="preserve">6. Expected Outcomes and Significance for Qatar Doha</w:t>
      </w:r>
    </w:p>
    <w:p>
      <w:pPr>
        <w:pStyle w:val="FirstParagraph"/>
      </w:pPr>
      <w:r>
        <w:t xml:space="preserve">This Research Proposal will deliver concrete, actionable outcomes directly relevant to enhancing the role of the Auditor in Qatar Doha:</w:t>
      </w:r>
    </w:p>
    <w:p>
      <w:pPr>
        <w:numPr>
          <w:ilvl w:val="0"/>
          <w:numId w:val="1004"/>
        </w:numPr>
        <w:pStyle w:val="Compact"/>
      </w:pPr>
      <w:r>
        <w:rPr>
          <w:bCs/>
          <w:b/>
        </w:rPr>
        <w:t xml:space="preserve">Policy Recommendations:</w:t>
      </w:r>
      <w:r>
        <w:t xml:space="preserve"> </w:t>
      </w:r>
      <w:r>
        <w:t xml:space="preserve">Specific guidance for QFCRA and MoF on streamlining regulations and supporting auditor independence in Qatari business contexts.</w:t>
      </w:r>
    </w:p>
    <w:p>
      <w:pPr>
        <w:numPr>
          <w:ilvl w:val="0"/>
          <w:numId w:val="1004"/>
        </w:numPr>
        <w:pStyle w:val="Compact"/>
      </w:pPr>
      <w:r>
        <w:rPr>
          <w:bCs/>
          <w:b/>
        </w:rPr>
        <w:t xml:space="preserve">Professional Development Toolkit:</w:t>
      </w:r>
      <w:r>
        <w:t xml:space="preserve"> </w:t>
      </w:r>
      <w:r>
        <w:t xml:space="preserve">A roadmap for audit firms operating in Doha to build sector-specific competencies (e.g., construction, energy, hospitality) and integrate data analytics effectively.</w:t>
      </w:r>
    </w:p>
    <w:p>
      <w:pPr>
        <w:numPr>
          <w:ilvl w:val="0"/>
          <w:numId w:val="1004"/>
        </w:numPr>
        <w:pStyle w:val="Compact"/>
      </w:pPr>
      <w:r>
        <w:rPr>
          <w:bCs/>
          <w:b/>
        </w:rPr>
        <w:t xml:space="preserve">Elevated Confidence:</w:t>
      </w:r>
      <w:r>
        <w:t xml:space="preserve"> </w:t>
      </w:r>
      <w:r>
        <w:t xml:space="preserve">Strengthened financial reporting quality will directly bolster Qatar's standing as a premier destination for FDI and institutional investment, aligning with Vision 2030.</w:t>
      </w:r>
    </w:p>
    <w:p>
      <w:pPr>
        <w:numPr>
          <w:ilvl w:val="0"/>
          <w:numId w:val="1004"/>
        </w:numPr>
        <w:pStyle w:val="Compact"/>
      </w:pPr>
      <w:r>
        <w:rPr>
          <w:bCs/>
          <w:b/>
        </w:rPr>
        <w:t xml:space="preserve">Knowledge Hub:</w:t>
      </w:r>
      <w:r>
        <w:t xml:space="preserve"> </w:t>
      </w:r>
      <w:r>
        <w:t xml:space="preserve">A foundational research resource on Auditor dynamics within the Doha business ecosystem, filling a critical gap in regional academic literature.</w:t>
      </w:r>
    </w:p>
    <w:bookmarkEnd w:id="26"/>
    <w:bookmarkStart w:id="27" w:name="X71073ae83a6349df75c857770b7ccfab0d4e95c"/>
    <w:p>
      <w:pPr>
        <w:pStyle w:val="Heading2"/>
      </w:pPr>
      <w:r>
        <w:t xml:space="preserve">7. Conclusion: The Auditor as Catalyst for Sustainable Growth</w:t>
      </w:r>
    </w:p>
    <w:p>
      <w:pPr>
        <w:pStyle w:val="FirstParagraph"/>
      </w:pPr>
      <w:r>
        <w:t xml:space="preserve">The success of Qatar Doha's economic transformation hinges significantly on the integrity and effectiveness of its Auditors. This Research Proposal positions the Auditor not merely as a service provider, but as an indispensable architect of trust within Qatar's complex financial architecture. By systematically addressing the unique challenges faced by Auditors operating in Doha, this research will provide evidence-based solutions to fortify audit quality, directly contributing to economic resilience and sustainable growth under the Qatar Vision 2030 framework. The findings will empower regulators, firms, and practitioners across Qatar Doha to elevate auditing standards from compliance-driven activities into strategic value drivers for national prosperity.</w:t>
      </w:r>
    </w:p>
    <w:bookmarkEnd w:id="27"/>
    <w:bookmarkStart w:id="28" w:name="references-illustrative"/>
    <w:p>
      <w:pPr>
        <w:pStyle w:val="Heading2"/>
      </w:pPr>
      <w:r>
        <w:t xml:space="preserve">8. References (Illustrative)</w:t>
      </w:r>
    </w:p>
    <w:p>
      <w:pPr>
        <w:numPr>
          <w:ilvl w:val="0"/>
          <w:numId w:val="1005"/>
        </w:numPr>
        <w:pStyle w:val="Compact"/>
      </w:pPr>
      <w:r>
        <w:t xml:space="preserve">Qatar Financial Centre Regulatory Authority (QFCRA). (2023). *Annual Audit Compliance Report*. Doha: QFCRA.</w:t>
      </w:r>
    </w:p>
    <w:p>
      <w:pPr>
        <w:numPr>
          <w:ilvl w:val="0"/>
          <w:numId w:val="1005"/>
        </w:numPr>
        <w:pStyle w:val="Compact"/>
      </w:pPr>
      <w:r>
        <w:t xml:space="preserve">Al-Sa'd, M., &amp; Al-Rajhi, A. (2019). Auditor Independence and Cultural Context in the GCC. *Journal of Accounting in Emerging Economies*, 9(3), 456-478.</w:t>
      </w:r>
    </w:p>
    <w:p>
      <w:pPr>
        <w:numPr>
          <w:ilvl w:val="0"/>
          <w:numId w:val="1005"/>
        </w:numPr>
        <w:pStyle w:val="Compact"/>
      </w:pPr>
      <w:r>
        <w:t xml:space="preserve">International Auditing and Assurance Standards Board (IAASB). (2022). *Auditing Standards for Complex Transactions*.</w:t>
      </w:r>
    </w:p>
    <w:p>
      <w:pPr>
        <w:numPr>
          <w:ilvl w:val="0"/>
          <w:numId w:val="1005"/>
        </w:numPr>
        <w:pStyle w:val="Compact"/>
      </w:pPr>
      <w:r>
        <w:t xml:space="preserve">Qatar National Vision 2030. (2019). *Economic Development Strategy*. Ministry of Development Planning and Statistics,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Qatar Doha's Evolving Financial Landscape</dc:title>
  <dc:creator/>
  <dc:language>en</dc:language>
  <cp:keywords/>
  <dcterms:created xsi:type="dcterms:W3CDTF">2026-07-13T23:01:51Z</dcterms:created>
  <dcterms:modified xsi:type="dcterms:W3CDTF">2026-07-13T23:01:51Z</dcterms:modified>
</cp:coreProperties>
</file>

<file path=docProps/custom.xml><?xml version="1.0" encoding="utf-8"?>
<Properties xmlns="http://schemas.openxmlformats.org/officeDocument/2006/custom-properties" xmlns:vt="http://schemas.openxmlformats.org/officeDocument/2006/docPropsVTypes"/>
</file>