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Professionalism</w:t>
      </w:r>
      <w:r>
        <w:t xml:space="preserve"> </w:t>
      </w:r>
      <w:r>
        <w:t xml:space="preserve">in</w:t>
      </w:r>
      <w:r>
        <w:t xml:space="preserve"> </w:t>
      </w:r>
      <w:r>
        <w:t xml:space="preserve">Moscow's</w:t>
      </w:r>
      <w:r>
        <w:t xml:space="preserve"> </w:t>
      </w:r>
      <w:r>
        <w:t xml:space="preserve">Financial</w:t>
      </w:r>
      <w:r>
        <w:t xml:space="preserve"> </w:t>
      </w:r>
      <w:r>
        <w:t xml:space="preserve">Ecosystem</w:t>
      </w:r>
    </w:p>
    <w:bookmarkStart w:id="28" w:name="X4ff428d7654e1e023bd8f58cd6852ebaca1570a"/>
    <w:p>
      <w:pPr>
        <w:pStyle w:val="Heading1"/>
      </w:pPr>
      <w:r>
        <w:t xml:space="preserve">Research Proposal: Enhancing Auditor Competency Frameworks for Russia's Moscow Financial Hub</w:t>
      </w:r>
    </w:p>
    <w:bookmarkStart w:id="20" w:name="introduction-and-background"/>
    <w:p>
      <w:pPr>
        <w:pStyle w:val="Heading2"/>
      </w:pPr>
      <w:r>
        <w:t xml:space="preserve">Introduction and Background</w:t>
      </w:r>
    </w:p>
    <w:p>
      <w:pPr>
        <w:pStyle w:val="FirstParagraph"/>
      </w:pPr>
      <w:r>
        <w:t xml:space="preserve">The financial landscape of Russia, particularly the dynamic economic center of Moscow, has undergone significant transformation since the early 2000s. As a global financial hub hosting over 35% of all Russian corporate headquarters and numerous multinational corporations, Moscow represents a critical nexus for international business operations. Within this context, the role of the</w:t>
      </w:r>
      <w:r>
        <w:t xml:space="preserve"> </w:t>
      </w:r>
      <w:r>
        <w:rPr>
          <w:bCs/>
          <w:b/>
        </w:rPr>
        <w:t xml:space="preserve">Auditor</w:t>
      </w:r>
      <w:r>
        <w:t xml:space="preserve"> </w:t>
      </w:r>
      <w:r>
        <w:t xml:space="preserve">has evolved from mere compliance verification to strategic risk management partner. However, Russia's regulatory environment continues to face challenges in aligning with international standards, creating unique pressures on audit professionals operating in Moscow. This</w:t>
      </w:r>
      <w:r>
        <w:t xml:space="preserve"> </w:t>
      </w:r>
      <w:r>
        <w:rPr>
          <w:iCs/>
          <w:i/>
        </w:rPr>
        <w:t xml:space="preserve">Research Proposal</w:t>
      </w:r>
      <w:r>
        <w:t xml:space="preserve"> </w:t>
      </w:r>
      <w:r>
        <w:t xml:space="preserve">addresses these complexities through a comprehensive investigation into auditor competency frameworks tailored for the Russian market.</w:t>
      </w:r>
    </w:p>
    <w:bookmarkEnd w:id="20"/>
    <w:bookmarkStart w:id="21" w:name="problem-statement"/>
    <w:p>
      <w:pPr>
        <w:pStyle w:val="Heading2"/>
      </w:pPr>
      <w:r>
        <w:t xml:space="preserve">Problem Statement</w:t>
      </w:r>
    </w:p>
    <w:p>
      <w:pPr>
        <w:pStyle w:val="FirstParagraph"/>
      </w:pPr>
      <w:r>
        <w:t xml:space="preserve">Economic volatility, evolving regulatory requirements under the Russian Federal Law No. 307-FZ on Auditing Activities, and increasing foreign investment in Moscow's financial sector have exposed critical gaps in auditor capabilities. Recent inspections by the Federal Financial Monitoring Service (Rosfinmonitoring) revealed that 42% of audit reports for major Moscow-based entities contained material inconsistencies related to financial statement presentation. These shortcomings directly impact investor confidence and undermine Russia's position as an attractive destination for international capital. The absence of a standardized, locally-adapted auditor competency model—distinct from both Western frameworks and traditional Russian practices—creates operational inefficiencies and regulatory friction within Moscow's business ecosystem.</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for auditors operating in Russia, with specific adaptations for Moscow's unique market dynamics.</w:t>
      </w:r>
    </w:p>
    <w:p>
      <w:pPr>
        <w:numPr>
          <w:ilvl w:val="0"/>
          <w:numId w:val="1001"/>
        </w:numPr>
        <w:pStyle w:val="Compact"/>
      </w:pPr>
      <w:r>
        <w:t xml:space="preserve">To identify critical skill gaps between current auditor capabilities and emerging regulatory requirements (including IFRS alignment and anti-money laundering protocols) in Moscow's financial institutions.</w:t>
      </w:r>
    </w:p>
    <w:p>
      <w:pPr>
        <w:numPr>
          <w:ilvl w:val="0"/>
          <w:numId w:val="1001"/>
        </w:numPr>
        <w:pStyle w:val="Compact"/>
      </w:pPr>
      <w:r>
        <w:t xml:space="preserve">To assess the impact of geopolitical factors on auditor independence and risk assessment methodologies within Russia's evolving economic environment.</w:t>
      </w:r>
    </w:p>
    <w:p>
      <w:pPr>
        <w:numPr>
          <w:ilvl w:val="0"/>
          <w:numId w:val="1001"/>
        </w:numPr>
        <w:pStyle w:val="Compact"/>
      </w:pPr>
      <w:r>
        <w:t xml:space="preserve">To create a validation methodology for evaluating auditor performance that accounts for Russia's specific legal and cultural context, particularly in Moscow.</w:t>
      </w:r>
    </w:p>
    <w:bookmarkEnd w:id="22"/>
    <w:bookmarkStart w:id="23" w:name="literature-review"/>
    <w:p>
      <w:pPr>
        <w:pStyle w:val="Heading2"/>
      </w:pPr>
      <w:r>
        <w:t xml:space="preserve">Literature Review</w:t>
      </w:r>
    </w:p>
    <w:p>
      <w:pPr>
        <w:pStyle w:val="FirstParagraph"/>
      </w:pPr>
      <w:r>
        <w:t xml:space="preserve">Existing scholarship on auditing in emerging markets (e.g., studies by Beyer et al. on Eastern Europe) generally focuses on macroeconomic factors without addressing micro-level professional competency. Russian academic literature (e.g., Kuznetsov, 2021; Petrova &amp; Sokolova, 2023) primarily examines regulatory compliance rather than auditor skill development. Crucially, no prior research has conducted a comparative analysis of auditor practices between Moscow's international financial institutions and domestic enterprises. This gap is particularly acute given Moscow's dual role as both a global financial node and a market with distinct institutional logics. The proposed</w:t>
      </w:r>
      <w:r>
        <w:t xml:space="preserve"> </w:t>
      </w:r>
      <w:r>
        <w:rPr>
          <w:iCs/>
          <w:i/>
        </w:rPr>
        <w:t xml:space="preserve">Research Proposal</w:t>
      </w:r>
      <w:r>
        <w:t xml:space="preserve"> </w:t>
      </w:r>
      <w:r>
        <w:t xml:space="preserve">directly addresses this void through primary data collection within Russia's most complex audit environment.</w:t>
      </w:r>
    </w:p>
    <w:bookmarkEnd w:id="23"/>
    <w:bookmarkStart w:id="24" w:name="methodology"/>
    <w:p>
      <w:pPr>
        <w:pStyle w:val="Heading2"/>
      </w:pPr>
      <w:r>
        <w:t xml:space="preserve">Methodology</w:t>
      </w:r>
    </w:p>
    <w:p>
      <w:pPr>
        <w:pStyle w:val="FirstParagraph"/>
      </w:pPr>
      <w:r>
        <w:t xml:space="preserve">This mixed-methods study will employ three interlocking approaches:</w:t>
      </w:r>
    </w:p>
    <w:p>
      <w:pPr>
        <w:numPr>
          <w:ilvl w:val="0"/>
          <w:numId w:val="1002"/>
        </w:numPr>
        <w:pStyle w:val="Compact"/>
      </w:pPr>
      <w:r>
        <w:rPr>
          <w:bCs/>
          <w:b/>
        </w:rPr>
        <w:t xml:space="preserve">Quantitative Component:</w:t>
      </w:r>
      <w:r>
        <w:t xml:space="preserve"> </w:t>
      </w:r>
      <w:r>
        <w:t xml:space="preserve">Survey of 150+ certified auditors (including partners at Big Four firms operating in Moscow and local audit firms) using structured questionnaires assessing competency levels across 20 professional dimensions (e.g., cross-border tax regulations, digital evidence collection, geopolitical risk analysis).</w:t>
      </w:r>
    </w:p>
    <w:p>
      <w:pPr>
        <w:numPr>
          <w:ilvl w:val="0"/>
          <w:numId w:val="1002"/>
        </w:numPr>
        <w:pStyle w:val="Compact"/>
      </w:pPr>
      <w:r>
        <w:rPr>
          <w:bCs/>
          <w:b/>
        </w:rPr>
        <w:t xml:space="preserve">Qualitative Component:</w:t>
      </w:r>
      <w:r>
        <w:t xml:space="preserve"> </w:t>
      </w:r>
      <w:r>
        <w:t xml:space="preserve">In-depth interviews with 30 senior audit professionals and regulatory officials from the Central Bank of Russia and Moscow Stock Exchange to explore contextual challenges in auditor practice.</w:t>
      </w:r>
    </w:p>
    <w:p>
      <w:pPr>
        <w:numPr>
          <w:ilvl w:val="0"/>
          <w:numId w:val="1002"/>
        </w:numPr>
        <w:pStyle w:val="Compact"/>
      </w:pPr>
      <w:r>
        <w:rPr>
          <w:bCs/>
          <w:b/>
        </w:rPr>
        <w:t xml:space="preserve">Case Study Analysis:</w:t>
      </w:r>
      <w:r>
        <w:t xml:space="preserve"> </w:t>
      </w:r>
      <w:r>
        <w:t xml:space="preserve">Comparative examination of 25 high-profile audits (2019-2023) involving major Moscow-based entities across banking, energy, and technology sectors to identify patterns in audit failures and successes.</w:t>
      </w:r>
    </w:p>
    <w:p>
      <w:pPr>
        <w:pStyle w:val="FirstParagraph"/>
      </w:pPr>
      <w:r>
        <w:t xml:space="preserve">Data collection will occur across Moscow's financial district (including the Moskva-City complex), with particular attention to firms handling foreign investments. The research design incorporates Russian legal requirements for data sovereignty through local partnerships with the Moscow School of Management SKOLKOVO. All analysis will use SPSS for quantitative data and NVivo for qualitative coding, ensuring alignment with international academic standards while respecting Russia's specific regulatory framework.</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Competency Framework:</w:t>
      </w:r>
      <w:r>
        <w:t xml:space="preserve"> </w:t>
      </w:r>
      <w:r>
        <w:t xml:space="preserve">A validated auditor competency model with 12 core domains (including geopolitical risk assessment, digital audit tools adaptation, and Russia-specific regulatory navigation) tailored for Moscow's market conditions. This framework will integrate international best practices with Russian legal requirements.</w:t>
      </w:r>
    </w:p>
    <w:p>
      <w:pPr>
        <w:numPr>
          <w:ilvl w:val="0"/>
          <w:numId w:val="1003"/>
        </w:numPr>
        <w:pStyle w:val="Compact"/>
      </w:pPr>
      <w:r>
        <w:rPr>
          <w:bCs/>
          <w:b/>
        </w:rPr>
        <w:t xml:space="preserve">Regulatory Roadmap:</w:t>
      </w:r>
      <w:r>
        <w:t xml:space="preserve"> </w:t>
      </w:r>
      <w:r>
        <w:t xml:space="preserve">Actionable recommendations for the Federal Chamber of Auditors of Russia to revise professional standards, particularly concerning auditor independence in politically sensitive sectors like energy and finance where Moscow maintains strategic importance.</w:t>
      </w:r>
    </w:p>
    <w:p>
      <w:pPr>
        <w:numPr>
          <w:ilvl w:val="0"/>
          <w:numId w:val="1003"/>
        </w:numPr>
        <w:pStyle w:val="Compact"/>
      </w:pPr>
      <w:r>
        <w:rPr>
          <w:bCs/>
          <w:b/>
        </w:rPr>
        <w:t xml:space="preserve">Industry Toolkits:</w:t>
      </w:r>
      <w:r>
        <w:t xml:space="preserve"> </w:t>
      </w:r>
      <w:r>
        <w:t xml:space="preserve">Practical training modules for audit firms operating in Russia, addressing critical gaps identified through the study—such as advanced data analytics application for Russian accounting systems (e.g., 1C:Enterprise) and cross-cultural communication strategies with Western stakeholders.</w:t>
      </w:r>
    </w:p>
    <w:p>
      <w:pPr>
        <w:pStyle w:val="FirstParagraph"/>
      </w:pPr>
      <w:r>
        <w:t xml:space="preserve">The significance extends beyond academia. For Moscow's financial ecosystem, enhanced auditor capabilities will directly support Russia's strategic goal of developing its capital markets as an alternative to Western institutions. Improved audit quality reduces information asymmetry for foreign investors—critical given that 32% of Moscow-based M&amp;A deals involve international partners (according to PwC Russia 2023 report). For the</w:t>
      </w:r>
      <w:r>
        <w:t xml:space="preserve"> </w:t>
      </w:r>
      <w:r>
        <w:rPr>
          <w:bCs/>
          <w:b/>
        </w:rPr>
        <w:t xml:space="preserve">Auditor</w:t>
      </w:r>
      <w:r>
        <w:t xml:space="preserve"> </w:t>
      </w:r>
      <w:r>
        <w:t xml:space="preserve">profession in Russia, this research establishes a foundation for professional development standards that increase credibility and market competitiveness.</w:t>
      </w:r>
    </w:p>
    <w:bookmarkEnd w:id="25"/>
    <w:bookmarkStart w:id="26" w:name="timeline-and-implementation"/>
    <w:p>
      <w:pPr>
        <w:pStyle w:val="Heading2"/>
      </w:pPr>
      <w:r>
        <w:t xml:space="preserve">Timeline and Implementation</w:t>
      </w:r>
    </w:p>
    <w:p>
      <w:pPr>
        <w:pStyle w:val="FirstParagraph"/>
      </w:pPr>
      <w:r>
        <w:t xml:space="preserve">The proposed research spans 14 months with phased implementation:</w:t>
      </w:r>
    </w:p>
    <w:p>
      <w:pPr>
        <w:numPr>
          <w:ilvl w:val="0"/>
          <w:numId w:val="1004"/>
        </w:numPr>
        <w:pStyle w:val="Compact"/>
      </w:pPr>
      <w:r>
        <w:rPr>
          <w:bCs/>
          <w:b/>
        </w:rPr>
        <w:t xml:space="preserve">Months 1-3:</w:t>
      </w:r>
      <w:r>
        <w:t xml:space="preserve"> </w:t>
      </w:r>
      <w:r>
        <w:t xml:space="preserve">Regulatory analysis, framework design, ethics approvals from Moscow institutions.</w:t>
      </w:r>
    </w:p>
    <w:p>
      <w:pPr>
        <w:numPr>
          <w:ilvl w:val="0"/>
          <w:numId w:val="1004"/>
        </w:numPr>
        <w:pStyle w:val="Compact"/>
      </w:pPr>
      <w:r>
        <w:rPr>
          <w:bCs/>
          <w:b/>
        </w:rPr>
        <w:t xml:space="preserve">Months 4-7:</w:t>
      </w:r>
      <w:r>
        <w:t xml:space="preserve"> </w:t>
      </w:r>
      <w:r>
        <w:t xml:space="preserve">Data collection (surveys, interviews) across Moscow's financial district.</w:t>
      </w:r>
    </w:p>
    <w:p>
      <w:pPr>
        <w:numPr>
          <w:ilvl w:val="0"/>
          <w:numId w:val="1004"/>
        </w:numPr>
        <w:pStyle w:val="Compact"/>
      </w:pPr>
      <w:r>
        <w:rPr>
          <w:bCs/>
          <w:b/>
        </w:rPr>
        <w:t xml:space="preserve">Months 8-10:</w:t>
      </w:r>
      <w:r>
        <w:t xml:space="preserve"> </w:t>
      </w:r>
      <w:r>
        <w:t xml:space="preserve">Data analysis and preliminary framework development with stakeholder workshops in Moscow.</w:t>
      </w:r>
    </w:p>
    <w:p>
      <w:pPr>
        <w:numPr>
          <w:ilvl w:val="0"/>
          <w:numId w:val="1004"/>
        </w:numPr>
        <w:pStyle w:val="Compact"/>
      </w:pPr>
      <w:r>
        <w:rPr>
          <w:bCs/>
          <w:b/>
        </w:rPr>
        <w:t xml:space="preserve">Months 11-14:</w:t>
      </w:r>
      <w:r>
        <w:t xml:space="preserve"> </w:t>
      </w:r>
      <w:r>
        <w:t xml:space="preserve">Final validation, report drafting, and policy recommendations submission to Federal Chamber of Auditors (Moscow headquarters).</w:t>
      </w:r>
    </w:p>
    <w:bookmarkEnd w:id="26"/>
    <w:bookmarkStart w:id="27" w:name="conclusion"/>
    <w:p>
      <w:pPr>
        <w:pStyle w:val="Heading2"/>
      </w:pPr>
      <w:r>
        <w:t xml:space="preserve">Conclusion</w:t>
      </w:r>
    </w:p>
    <w:p>
      <w:pPr>
        <w:pStyle w:val="FirstParagraph"/>
      </w:pPr>
      <w:r>
        <w:t xml:space="preserve">This Research Proposal directly confronts the urgent need for a modernized auditor competency paradigm within Russia's most economically significant city. Moscow's position as both a domestic financial powerhouse and an emerging global player necessitates audit practices that balance international standards with localized expertise. By developing the first comprehensive framework specifically designed for auditors operating in Russia Moscow, this research will serve as a catalyst for enhancing financial transparency, supporting sustainable economic growth, and strengthening Russia's integration into global capital markets. The outcomes promise to redefine professional expectations for the Auditor in one of the world's most strategically important financial centers—ensuring that audit quality evolves alongside Moscow's economic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Professionalism in Moscow's Financial Ecosystem</dc:title>
  <dc:creator/>
  <dc:language>en</dc:language>
  <cp:keywords/>
  <dcterms:created xsi:type="dcterms:W3CDTF">2026-07-23T06:40:49Z</dcterms:created>
  <dcterms:modified xsi:type="dcterms:W3CDTF">2026-07-23T06:40:49Z</dcterms:modified>
</cp:coreProperties>
</file>

<file path=docProps/custom.xml><?xml version="1.0" encoding="utf-8"?>
<Properties xmlns="http://schemas.openxmlformats.org/officeDocument/2006/custom-properties" xmlns:vt="http://schemas.openxmlformats.org/officeDocument/2006/docPropsVTypes"/>
</file>