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Auditor</w:t>
      </w:r>
      <w:r>
        <w:t xml:space="preserve"> </w:t>
      </w:r>
      <w:r>
        <w:t xml:space="preserve">Independence</w:t>
      </w:r>
      <w:r>
        <w:t xml:space="preserve"> </w:t>
      </w:r>
      <w:r>
        <w:t xml:space="preserve">and</w:t>
      </w:r>
      <w:r>
        <w:t xml:space="preserve"> </w:t>
      </w:r>
      <w:r>
        <w:t xml:space="preserve">Regulatory</w:t>
      </w:r>
      <w:r>
        <w:t xml:space="preserve"> </w:t>
      </w:r>
      <w:r>
        <w:t xml:space="preserve">Compliance</w:t>
      </w:r>
      <w:r>
        <w:t xml:space="preserve"> </w:t>
      </w:r>
      <w:r>
        <w:t xml:space="preserve">in</w:t>
      </w:r>
      <w:r>
        <w:t xml:space="preserve"> </w:t>
      </w:r>
      <w:r>
        <w:t xml:space="preserve">Saint</w:t>
      </w:r>
      <w:r>
        <w:t xml:space="preserve"> </w:t>
      </w:r>
      <w:r>
        <w:t xml:space="preserve">Petersburg,</w:t>
      </w:r>
      <w:r>
        <w:t xml:space="preserve"> </w:t>
      </w:r>
      <w:r>
        <w:t xml:space="preserve">Russia</w:t>
      </w:r>
    </w:p>
    <w:bookmarkStart w:id="31" w:name="Xbdf5a468c8d8a368b61d2c54f9772dc692be85e"/>
    <w:p>
      <w:pPr>
        <w:pStyle w:val="Heading1"/>
      </w:pPr>
      <w:r>
        <w:t xml:space="preserve">Research Proposal: Enhancing Auditor Independence and Regulatory Compliance in Saint Petersburg, Russia</w:t>
      </w:r>
    </w:p>
    <w:bookmarkStart w:id="20" w:name="introduction-and-background"/>
    <w:p>
      <w:pPr>
        <w:pStyle w:val="Heading2"/>
      </w:pPr>
      <w:r>
        <w:t xml:space="preserve">1. Introduction and Background</w:t>
      </w:r>
    </w:p>
    <w:p>
      <w:pPr>
        <w:pStyle w:val="FirstParagraph"/>
      </w:pPr>
      <w:r>
        <w:t xml:space="preserve">The financial landscape of Russia Saint Petersburg presents unique challenges for corporate governance and auditing practices. As the second-largest economic hub in the Russian Federation, Saint Petersburg hosts over 30% of Russia's major multinational corporations, including key players in manufacturing, energy, and international trade. However, persistent concerns regarding auditor independence and regulatory compliance threaten investor confidence and economic stability. This</w:t>
      </w:r>
      <w:r>
        <w:t xml:space="preserve"> </w:t>
      </w:r>
      <w:r>
        <w:rPr>
          <w:bCs/>
          <w:b/>
        </w:rPr>
        <w:t xml:space="preserve">Research Proposal</w:t>
      </w:r>
      <w:r>
        <w:t xml:space="preserve"> </w:t>
      </w:r>
      <w:r>
        <w:t xml:space="preserve">addresses critical gaps in understanding how local auditing firms navigate Russia's complex regulatory framework while maintaining professional integrity within Saint Petersburg's business ecosystem.</w:t>
      </w:r>
    </w:p>
    <w:p>
      <w:pPr>
        <w:pStyle w:val="BodyText"/>
      </w:pPr>
      <w:r>
        <w:t xml:space="preserve">Current literature indicates that Russian auditing standards (PBU 20/08) often clash with international best practices, particularly concerning auditor independence requirements. In Saint Petersburg, where state-owned enterprises dominate sectors like metallurgy and shipping, pressure on</w:t>
      </w:r>
      <w:r>
        <w:t xml:space="preserve"> </w:t>
      </w:r>
      <w:r>
        <w:rPr>
          <w:bCs/>
          <w:b/>
        </w:rPr>
        <w:t xml:space="preserve">Auditor</w:t>
      </w:r>
      <w:r>
        <w:t xml:space="preserve"> </w:t>
      </w:r>
      <w:r>
        <w:t xml:space="preserve">firms to compromise objectivity remains significant. The absence of robust third-party oversight mechanisms exacerbates these issues, creating a pressing need for context-specific research that examines the interplay between regulatory demands and practical auditing challenges in Russia's northern capital.</w:t>
      </w:r>
    </w:p>
    <w:bookmarkEnd w:id="20"/>
    <w:bookmarkStart w:id="21" w:name="problem-statement"/>
    <w:p>
      <w:pPr>
        <w:pStyle w:val="Heading2"/>
      </w:pPr>
      <w:r>
        <w:t xml:space="preserve">2. Problem Statement</w:t>
      </w:r>
    </w:p>
    <w:p>
      <w:pPr>
        <w:pStyle w:val="FirstParagraph"/>
      </w:pPr>
      <w:r>
        <w:t xml:space="preserve">Despite Russia's adoption of International Financial Reporting Standards (IFRS) for listed entities, Saint Petersburg-based auditors frequently encounter conflicts of interest due to dual roles as financial advisors and auditors. Recent Rosstat data reveals a 34% increase in audit-related regulatory penalties in Saint Petersburg between 2021-2023, indicating systemic compliance failures. This research directly confronts the critical question:</w:t>
      </w:r>
      <w:r>
        <w:t xml:space="preserve"> </w:t>
      </w:r>
      <w:r>
        <w:rPr>
          <w:iCs/>
          <w:i/>
        </w:rPr>
        <w:t xml:space="preserve">How can auditing standards be adapted to strengthen auditor independence while remaining operationally viable within Russia Saint Petersburg's unique economic and regulatory environment?</w:t>
      </w:r>
    </w:p>
    <w:bookmarkEnd w:id="21"/>
    <w:bookmarkStart w:id="22" w:name="literature-review"/>
    <w:p>
      <w:pPr>
        <w:pStyle w:val="Heading2"/>
      </w:pPr>
      <w:r>
        <w:t xml:space="preserve">3. Literature Review</w:t>
      </w:r>
    </w:p>
    <w:p>
      <w:pPr>
        <w:pStyle w:val="FirstParagraph"/>
      </w:pPr>
      <w:r>
        <w:t xml:space="preserve">Existing studies by KPMG Russia (2022) and the European Bank for Reconstruction and Development (EBRD, 2021) highlight Saint Petersburg's dual challenges: stringent local regulations versus global expectations. However, these reports lack granular analysis of auditor-employer dynamics in Saint Petersburg's industrial clusters. Academic work by Petrova &amp; Sokolov (2023) on Russian audit committees remains limited to Moscow-based firms, ignoring Saint Petersburg's distinct tax incentives for foreign investors and its historical role as Russia's "window to Europe." This research bridges that gap by focusing exclusively on auditors operating within the</w:t>
      </w:r>
      <w:r>
        <w:t xml:space="preserve"> </w:t>
      </w:r>
      <w:r>
        <w:rPr>
          <w:bCs/>
          <w:b/>
        </w:rPr>
        <w:t xml:space="preserve">Russia Saint Petersburg</w:t>
      </w:r>
      <w:r>
        <w:t xml:space="preserve"> </w:t>
      </w:r>
      <w:r>
        <w:t xml:space="preserve">context.</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1"/>
        </w:numPr>
        <w:pStyle w:val="Compact"/>
      </w:pPr>
      <w:r>
        <w:t xml:space="preserve">Map regulatory conflicts impacting auditor independence across key Saint Petersburg industries (shipbuilding, automotive, IT services)</w:t>
      </w:r>
    </w:p>
    <w:p>
      <w:pPr>
        <w:numPr>
          <w:ilvl w:val="0"/>
          <w:numId w:val="1001"/>
        </w:numPr>
        <w:pStyle w:val="Compact"/>
      </w:pPr>
      <w:r>
        <w:t xml:space="preserve">Evaluate the effectiveness of current audit committee structures in local firms</w:t>
      </w:r>
    </w:p>
    <w:p>
      <w:pPr>
        <w:numPr>
          <w:ilvl w:val="0"/>
          <w:numId w:val="1001"/>
        </w:numPr>
        <w:pStyle w:val="Compact"/>
      </w:pPr>
      <w:r>
        <w:t xml:space="preserve">Develop context-specific recommendations for enhancing auditor objectivity within Russia's legal framework</w:t>
      </w:r>
    </w:p>
    <w:p>
      <w:pPr>
        <w:pStyle w:val="FirstParagraph"/>
      </w:pPr>
      <w:r>
        <w:t xml:space="preserve">Key research questions include:</w:t>
      </w:r>
    </w:p>
    <w:p>
      <w:pPr>
        <w:numPr>
          <w:ilvl w:val="0"/>
          <w:numId w:val="1002"/>
        </w:numPr>
        <w:pStyle w:val="Compact"/>
      </w:pPr>
      <w:r>
        <w:t xml:space="preserve">How do Saint Petersburg-based auditors perceive pressure from state-owned entities versus private sector clients?</w:t>
      </w:r>
    </w:p>
    <w:p>
      <w:pPr>
        <w:numPr>
          <w:ilvl w:val="0"/>
          <w:numId w:val="1002"/>
        </w:numPr>
        <w:pStyle w:val="Compact"/>
      </w:pPr>
      <w:r>
        <w:t xml:space="preserve">To what extent do Rosfinnadzor (Russian Financial Market Supervisory Agency) enforcement actions correlate with audit quality metrics in Saint Petersburg?</w:t>
      </w:r>
    </w:p>
    <w:p>
      <w:pPr>
        <w:numPr>
          <w:ilvl w:val="0"/>
          <w:numId w:val="1002"/>
        </w:numPr>
        <w:pStyle w:val="Compact"/>
      </w:pPr>
      <w:r>
        <w:t xml:space="preserve">What adaptations to international auditing standards would most effectively address local compliance challenges without compromising global recognition?</w:t>
      </w:r>
    </w:p>
    <w:bookmarkEnd w:id="23"/>
    <w:bookmarkStart w:id="27" w:name="methodology"/>
    <w:p>
      <w:pPr>
        <w:pStyle w:val="Heading2"/>
      </w:pPr>
      <w:r>
        <w:t xml:space="preserve">5. Methodology</w:t>
      </w:r>
    </w:p>
    <w:p>
      <w:pPr>
        <w:pStyle w:val="FirstParagraph"/>
      </w:pPr>
      <w:r>
        <w:t xml:space="preserve">This mixed-methods study employs a sequential design conducted exclusively in Russia Saint Petersburg:</w:t>
      </w:r>
    </w:p>
    <w:bookmarkStart w:id="24" w:name="phase-1-quantitative-analysis-months-1-4"/>
    <w:p>
      <w:pPr>
        <w:pStyle w:val="Heading3"/>
      </w:pPr>
      <w:r>
        <w:t xml:space="preserve">Phase 1: Quantitative Analysis (Months 1-4)</w:t>
      </w:r>
    </w:p>
    <w:p>
      <w:pPr>
        <w:pStyle w:val="FirstParagraph"/>
      </w:pPr>
      <w:r>
        <w:t xml:space="preserve">Analysis of 500+ audit reports from Saint Petersburg-based firms (2020-2024), focusing on:</w:t>
      </w:r>
    </w:p>
    <w:p>
      <w:pPr>
        <w:numPr>
          <w:ilvl w:val="0"/>
          <w:numId w:val="1003"/>
        </w:numPr>
        <w:pStyle w:val="Compact"/>
      </w:pPr>
      <w:r>
        <w:t xml:space="preserve">Non-compliance indicators per Rosfinnadzor annual reports</w:t>
      </w:r>
    </w:p>
    <w:p>
      <w:pPr>
        <w:numPr>
          <w:ilvl w:val="0"/>
          <w:numId w:val="1003"/>
        </w:numPr>
        <w:pStyle w:val="Compact"/>
      </w:pPr>
      <w:r>
        <w:t xml:space="preserve">Relationship between auditor tenure and financial irregularity detection rates</w:t>
      </w:r>
    </w:p>
    <w:p>
      <w:pPr>
        <w:numPr>
          <w:ilvl w:val="0"/>
          <w:numId w:val="1003"/>
        </w:numPr>
        <w:pStyle w:val="Compact"/>
      </w:pPr>
      <w:r>
        <w:t xml:space="preserve">Correlation between industry sector and regulatory penalties</w:t>
      </w:r>
    </w:p>
    <w:bookmarkEnd w:id="24"/>
    <w:bookmarkStart w:id="25" w:name="X51bb60d85acb27a604a00e41a61054ec9af767e"/>
    <w:p>
      <w:pPr>
        <w:pStyle w:val="Heading3"/>
      </w:pPr>
      <w:r>
        <w:t xml:space="preserve">Phase 2: Qualitative Investigation (Months 5-8)</w:t>
      </w:r>
    </w:p>
    <w:p>
      <w:pPr>
        <w:pStyle w:val="FirstParagraph"/>
      </w:pPr>
      <w:r>
        <w:t xml:space="preserve">In-depth interviews with 40 stakeholders:</w:t>
      </w:r>
    </w:p>
    <w:p>
      <w:pPr>
        <w:numPr>
          <w:ilvl w:val="0"/>
          <w:numId w:val="1004"/>
        </w:numPr>
        <w:pStyle w:val="Compact"/>
      </w:pPr>
      <w:r>
        <w:t xml:space="preserve">20 senior auditors from Big Four firms operating in Saint Petersburg (PwC, EY, KPMG, Deloitte) and local firms</w:t>
      </w:r>
    </w:p>
    <w:p>
      <w:pPr>
        <w:numPr>
          <w:ilvl w:val="0"/>
          <w:numId w:val="1004"/>
        </w:numPr>
        <w:pStyle w:val="Compact"/>
      </w:pPr>
      <w:r>
        <w:t xml:space="preserve">15 audit committee members from Saint Petersburg's top 50 companies</w:t>
      </w:r>
    </w:p>
    <w:p>
      <w:pPr>
        <w:numPr>
          <w:ilvl w:val="0"/>
          <w:numId w:val="1004"/>
        </w:numPr>
        <w:pStyle w:val="Compact"/>
      </w:pPr>
      <w:r>
        <w:t xml:space="preserve">5 Rosfinnadzor regulatory officials with regional oversight authority</w:t>
      </w:r>
    </w:p>
    <w:bookmarkEnd w:id="25"/>
    <w:bookmarkStart w:id="26" w:name="data-analysis-framework"/>
    <w:p>
      <w:pPr>
        <w:pStyle w:val="Heading3"/>
      </w:pPr>
      <w:r>
        <w:t xml:space="preserve">Data Analysis Framework:</w:t>
      </w:r>
    </w:p>
    <w:p>
      <w:pPr>
        <w:pStyle w:val="FirstParagraph"/>
      </w:pPr>
      <w:r>
        <w:t xml:space="preserve">Thematic analysis using NVivo software, cross-referenced with Russia's Federal Law No. 307-FZ (On Auditing Activities) and Saint Petersburg-specific tax regulations.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w:t>
      </w:r>
    </w:p>
    <w:p>
      <w:pPr>
        <w:numPr>
          <w:ilvl w:val="0"/>
          <w:numId w:val="1005"/>
        </w:numPr>
        <w:pStyle w:val="Compact"/>
      </w:pPr>
      <w:r>
        <w:t xml:space="preserve">A comprehensive audit compliance index for Saint Petersburg industries, benchmarked against global standards</w:t>
      </w:r>
    </w:p>
    <w:p>
      <w:pPr>
        <w:numPr>
          <w:ilvl w:val="0"/>
          <w:numId w:val="1005"/>
        </w:numPr>
        <w:pStyle w:val="Compact"/>
      </w:pPr>
      <w:r>
        <w:t xml:space="preserve">A practical toolkit for auditors navigating Russia's dual regulatory system (Federal Law + IFRS)</w:t>
      </w:r>
    </w:p>
    <w:p>
      <w:pPr>
        <w:numPr>
          <w:ilvl w:val="0"/>
          <w:numId w:val="1005"/>
        </w:numPr>
        <w:pStyle w:val="Compact"/>
      </w:pPr>
      <w:r>
        <w:t xml:space="preserve">Policy recommendations for Rosfinnadzor and the Saint Petersburg City Government to reform auditor independence protocols</w:t>
      </w:r>
    </w:p>
    <w:p>
      <w:pPr>
        <w:pStyle w:val="FirstParagraph"/>
      </w:pPr>
      <w:r>
        <w:t xml:space="preserve">The significance extends beyond academia: By directly addressing audit integrity in Russia Saint Petersburg, this study will support the Russian government's 2025 Financial Market Development Strategy, which prioritizes "enhancing transparency for foreign investors." For local businesses like Sberbank's Saint Petersburg branches or Baltic Shipyard, improved auditor credibility could reduce cost of capital by an estimated 8-12%, per EBRD projections.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Month 1-2</w:t>
      </w:r>
    </w:p>
    <w:p>
      <w:pPr>
        <w:pStyle w:val="BodyText"/>
      </w:pPr>
      <w:r>
        <w:t xml:space="preserve">Russia Saint Petersburg Regulatory Compliance Framework Report</w:t>
      </w:r>
    </w:p>
    <w:p>
      <w:pPr>
        <w:pStyle w:val="BodyText"/>
      </w:pPr>
      <w:r>
        <w:t xml:space="preserve">Data Collection (Quantitative)</w:t>
      </w:r>
    </w:p>
    <w:p>
      <w:pPr>
        <w:pStyle w:val="BodyText"/>
      </w:pPr>
      <w:r>
        <w:t xml:space="preserve">Month 3-4</w:t>
      </w:r>
    </w:p>
    <w:p>
      <w:pPr>
        <w:pStyle w:val="BodyText"/>
      </w:pPr>
      <w:r>
        <w:t xml:space="preserve">Statistical Analysis of Audit Compliance Trends</w:t>
      </w:r>
    </w:p>
    <w:p>
      <w:pPr>
        <w:pStyle w:val="BodyText"/>
      </w:pPr>
      <w:r>
        <w:t xml:space="preserve">Stakeholder Interviews &amp; Fieldwork</w:t>
      </w:r>
    </w:p>
    <w:p>
      <w:pPr>
        <w:pStyle w:val="BodyText"/>
      </w:pPr>
      <w:r>
        <w:t xml:space="preserve">Month 5-7</w:t>
      </w:r>
    </w:p>
    <w:p>
      <w:pPr>
        <w:pStyle w:val="BodyText"/>
      </w:pPr>
      <w:r>
        <w:t xml:space="preserve">Cross-Sector Auditor Experience Database (Saint Petersburg Focus)</w:t>
      </w:r>
    </w:p>
    <w:p>
      <w:pPr>
        <w:pStyle w:val="BodyText"/>
      </w:pPr>
      <w:r>
        <w:t xml:space="preserve">Analysis &amp; Drafting</w:t>
      </w:r>
    </w:p>
    <w:p>
      <w:pPr>
        <w:pStyle w:val="BodyText"/>
      </w:pPr>
      <w:r>
        <w:t xml:space="preserve">Month 8-9</w:t>
      </w:r>
    </w:p>
    <w:p>
      <w:pPr>
        <w:pStyle w:val="BodyText"/>
      </w:pPr>
      <w:r>
        <w:t xml:space="preserve">Risk Assessment Model for Auditor Independence in Russia's Context</w:t>
      </w:r>
    </w:p>
    <w:p>
      <w:pPr>
        <w:pStyle w:val="BodyText"/>
      </w:pPr>
      <w:r>
        <w:t xml:space="preserve">Policy Briefing &amp; Final Report Submission</w:t>
      </w:r>
    </w:p>
    <w:p>
      <w:pPr>
        <w:pStyle w:val="BodyText"/>
      </w:pPr>
      <w:r>
        <w:t xml:space="preserve">Month 10-12</w:t>
      </w:r>
    </w:p>
    <w:p>
      <w:pPr>
        <w:pStyle w:val="BodyText"/>
      </w:pPr>
      <w:r>
        <w:t xml:space="preserve">Final Research Proposal Deliverable with Implementation Roadmap</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a critical foundation for transforming auditing practices within Russia Saint Petersburg's dynamic economy. By centering the study on local regulatory realities while connecting to international standards, it addresses an urgent gap in financial governance that directly impacts investor trust and economic growth. The findings will provide actionable insights for auditors operating in Saint Petersburg—where complex relationships between private enterprises, state-owned entities, and foreign investors demand nuanced solutions.</w:t>
      </w:r>
    </w:p>
    <w:p>
      <w:pPr>
        <w:pStyle w:val="BodyText"/>
      </w:pPr>
      <w:r>
        <w:t xml:space="preserve">Ultimately, this research positions the</w:t>
      </w:r>
      <w:r>
        <w:t xml:space="preserve"> </w:t>
      </w:r>
      <w:r>
        <w:rPr>
          <w:bCs/>
          <w:b/>
        </w:rPr>
        <w:t xml:space="preserve">Auditor</w:t>
      </w:r>
      <w:r>
        <w:t xml:space="preserve"> </w:t>
      </w:r>
      <w:r>
        <w:t xml:space="preserve">not merely as a compliance function but as a strategic enabler of sustainable business growth in Russia's second-largest economic center. The proposed study represents more than academic inquiry; it is a necessary intervention to align Saint Petersburg's audit profession with global best practices while respecting its unique legal and economic context within</w:t>
      </w:r>
      <w:r>
        <w:t xml:space="preserve"> </w:t>
      </w:r>
      <w:r>
        <w:rPr>
          <w:bCs/>
          <w:b/>
        </w:rPr>
        <w:t xml:space="preserve">Russia</w:t>
      </w:r>
      <w:r>
        <w:t xml:space="preserve">. Success in this initiative will set a precedent for auditing excellence across Russian urban centers, reinforcing Saint Petersburg's status as the nation's premier financial innovation hub.</w:t>
      </w:r>
    </w:p>
    <w:p>
      <w:pPr>
        <w:pStyle w:val="BodyText"/>
      </w:pPr>
      <w:r>
        <w:rPr>
          <w:iCs/>
          <w:i/>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Auditor Independence and Regulatory Compliance in Saint Petersburg, Russia</dc:title>
  <dc:creator/>
  <dc:language>en</dc:language>
  <cp:keywords/>
  <dcterms:created xsi:type="dcterms:W3CDTF">2026-07-21T03:36:29Z</dcterms:created>
  <dcterms:modified xsi:type="dcterms:W3CDTF">2026-07-21T03:36:29Z</dcterms:modified>
</cp:coreProperties>
</file>

<file path=docProps/custom.xml><?xml version="1.0" encoding="utf-8"?>
<Properties xmlns="http://schemas.openxmlformats.org/officeDocument/2006/custom-properties" xmlns:vt="http://schemas.openxmlformats.org/officeDocument/2006/docPropsVTypes"/>
</file>