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946c7faa121290cdd8dbc08de380770f704c3cc"/>
    <w:p>
      <w:pPr>
        <w:pStyle w:val="Heading1"/>
      </w:pPr>
      <w:r>
        <w:t xml:space="preserve">Research Proposal: Strategic Advancement of Auditor Professionalism and Compliance Frameworks in Saudi Arabia Jeddah</w:t>
      </w:r>
    </w:p>
    <w:bookmarkStart w:id="20" w:name="X90a040db0cdabcf6339d61ab61d78f63e8ca02f"/>
    <w:p>
      <w:pPr>
        <w:pStyle w:val="Heading2"/>
      </w:pPr>
      <w:r>
        <w:t xml:space="preserve">I. Introduction: The Critical Role of Auditors in Saudi Vision 2030 Context</w:t>
      </w:r>
    </w:p>
    <w:p>
      <w:pPr>
        <w:pStyle w:val="FirstParagraph"/>
      </w:pPr>
      <w:r>
        <w:t xml:space="preserve">The Kingdom of Saudi Arabia's transformative economic blueprint, Vision 2030, has positioned Jeddah as a pivotal commercial hub driving regional trade and investment. As the second-largest city and major port, Jeddah's business ecosystem encompasses multinational corporations, SMEs, and rapidly expanding financial services. Within this dynamic landscape, the</w:t>
      </w:r>
      <w:r>
        <w:t xml:space="preserve"> </w:t>
      </w:r>
      <w:r>
        <w:rPr>
          <w:bCs/>
          <w:b/>
        </w:rPr>
        <w:t xml:space="preserve">auditor</w:t>
      </w:r>
      <w:r>
        <w:t xml:space="preserve"> </w:t>
      </w:r>
      <w:r>
        <w:t xml:space="preserve">serves as a cornerstone of financial integrity, risk management, and regulatory compliance. However, evolving international standards (like ISA 2023), Saudi Corporate Governance Regulations (SCGR), and complex cross-border transactions demand an urgent reevaluation of audit practices in Jeddah. This</w:t>
      </w:r>
      <w:r>
        <w:t xml:space="preserve"> </w:t>
      </w:r>
      <w:r>
        <w:rPr>
          <w:bCs/>
          <w:b/>
        </w:rPr>
        <w:t xml:space="preserve">Research Proposal</w:t>
      </w:r>
      <w:r>
        <w:t xml:space="preserve"> </w:t>
      </w:r>
      <w:r>
        <w:t xml:space="preserve">addresses the critical need to strengthen auditor capabilities to support Saudi Arabia's economic diversification goals and ensure sustainable business growth within Jeddah's unique market.</w:t>
      </w:r>
    </w:p>
    <w:bookmarkEnd w:id="20"/>
    <w:bookmarkStart w:id="21" w:name="X7ff50cfd276172bc667d83b87df56790108176f"/>
    <w:p>
      <w:pPr>
        <w:pStyle w:val="Heading2"/>
      </w:pPr>
      <w:r>
        <w:t xml:space="preserve">II. Problem Statement: Current Challenges in Auditor Operations</w:t>
      </w:r>
    </w:p>
    <w:p>
      <w:pPr>
        <w:pStyle w:val="FirstParagraph"/>
      </w:pPr>
      <w:r>
        <w:t xml:space="preserve">Jeddah's audit profession faces multifaceted challenges unaddressed by current frameworks. First, 68% of KSA firms (SAUDI CMA Report, 2023) report inconsistencies in auditor adherence to Saudi Accounting Standards (SAS) versus International Financial Reporting Standards (IFRS), creating compliance ambiguities. Second, Jeddah's concentration of construction and real estate projects—accounting for 40% of local GDP—presents complex audit scenarios requiring specialized risk assessment expertise not uniformly available among local</w:t>
      </w:r>
      <w:r>
        <w:t xml:space="preserve"> </w:t>
      </w:r>
      <w:r>
        <w:rPr>
          <w:bCs/>
          <w:b/>
        </w:rPr>
        <w:t xml:space="preserve">auditor</w:t>
      </w:r>
      <w:r>
        <w:t xml:space="preserve"> </w:t>
      </w:r>
      <w:r>
        <w:t xml:space="preserve">teams. Third, the rapid digitization of financial systems (e.g., e-invoicing under ZATCA) has outpaced auditor training in data analytics and cybersecurity validation, leaving significant gaps in fraud detection. These issues directly undermine investor confidence and hinder Jeddah's aspiration to become a global business destination under Saudi Arabia's Vision 2030.</w:t>
      </w:r>
    </w:p>
    <w:bookmarkEnd w:id="21"/>
    <w:bookmarkStart w:id="22" w:name="iii.-research-objectives"/>
    <w:p>
      <w:pPr>
        <w:pStyle w:val="Heading2"/>
      </w:pPr>
      <w:r>
        <w:t xml:space="preserve">III. Research Objectives</w:t>
      </w:r>
    </w:p>
    <w:p>
      <w:pPr>
        <w:numPr>
          <w:ilvl w:val="0"/>
          <w:numId w:val="1001"/>
        </w:numPr>
        <w:pStyle w:val="Compact"/>
      </w:pPr>
      <w:r>
        <w:t xml:space="preserve">To develop a tailored competency framework for auditors operating in Jeddah’s high-growth sectors (real estate, logistics, fintech).</w:t>
      </w:r>
    </w:p>
    <w:p>
      <w:pPr>
        <w:numPr>
          <w:ilvl w:val="0"/>
          <w:numId w:val="1001"/>
        </w:numPr>
        <w:pStyle w:val="Compact"/>
      </w:pPr>
      <w:r>
        <w:t xml:space="preserve">To assess the impact of Saudi regulatory updates (e.g., CMA’s 2024 Audit Quality Directive) on auditor workflows within Jeddah-based firms.</w:t>
      </w:r>
    </w:p>
    <w:p>
      <w:pPr>
        <w:numPr>
          <w:ilvl w:val="0"/>
          <w:numId w:val="1001"/>
        </w:numPr>
        <w:pStyle w:val="Compact"/>
      </w:pPr>
      <w:r>
        <w:t xml:space="preserve">To design a digital audit toolkit integrating AI-driven analytics with Saudi-specific compliance requirements.</w:t>
      </w:r>
    </w:p>
    <w:p>
      <w:pPr>
        <w:numPr>
          <w:ilvl w:val="0"/>
          <w:numId w:val="1001"/>
        </w:numPr>
        <w:pStyle w:val="Compact"/>
      </w:pPr>
      <w:r>
        <w:t xml:space="preserve">To evaluate stakeholder perceptions of auditor effectiveness among Jeddah's financial institutions, regulators (SAMA, CMA), and corporate boards.</w:t>
      </w:r>
    </w:p>
    <w:bookmarkEnd w:id="22"/>
    <w:bookmarkStart w:id="23" w:name="X8e449d93c11f8fb53816605feaae18e17a87cc2"/>
    <w:p>
      <w:pPr>
        <w:pStyle w:val="Heading2"/>
      </w:pPr>
      <w:r>
        <w:t xml:space="preserve">IV. Literature Review: Gaps in Gulf Region Auditor Studies</w:t>
      </w:r>
    </w:p>
    <w:p>
      <w:pPr>
        <w:pStyle w:val="FirstParagraph"/>
      </w:pPr>
      <w:r>
        <w:t xml:space="preserve">While global studies on audit quality exist (e.g., Dechow et al., 2019), research specifically addressing auditor challenges in Saudi Arabia Jeddah remains sparse. Prior work focuses on national-level compliance gaps (Al-Suhaimi &amp; Al-Abdulrahman, 2021) but neglects Jeddah's localized context: its port-driven economy, expatriate workforce dynamics (35% of auditors are non-Saudi), and high concentration of construction firms. Crucially, no study has examined how Saudi Arabia's unique Wasta (influence) culture interacts with auditor independence—a critical risk factor in Jeddah's close-knit business community. This research fills this void by grounding findings in on-the-ground operations within Jeddah.</w:t>
      </w:r>
    </w:p>
    <w:bookmarkEnd w:id="23"/>
    <w:bookmarkStart w:id="24" w:name="v.-methodology-mixed-methods-approach"/>
    <w:p>
      <w:pPr>
        <w:pStyle w:val="Heading2"/>
      </w:pPr>
      <w:r>
        <w:t xml:space="preserve">V. Methodology: Mixed-Methods Approach</w:t>
      </w:r>
    </w:p>
    <w:p>
      <w:pPr>
        <w:pStyle w:val="FirstParagraph"/>
      </w:pPr>
      <w:r>
        <w:t xml:space="preserve">This study employs a three-phase mixed-methods design:</w:t>
      </w:r>
    </w:p>
    <w:p>
      <w:pPr>
        <w:numPr>
          <w:ilvl w:val="0"/>
          <w:numId w:val="1002"/>
        </w:numPr>
        <w:pStyle w:val="Compact"/>
      </w:pPr>
      <w:r>
        <w:rPr>
          <w:bCs/>
          <w:b/>
        </w:rPr>
        <w:t xml:space="preserve">Phase 1 (Quantitative):</w:t>
      </w:r>
      <w:r>
        <w:t xml:space="preserve"> </w:t>
      </w:r>
      <w:r>
        <w:t xml:space="preserve">Survey of 300 auditors across Jeddah’s top 50 accounting firms (including EY, PwC, KPMG offices) and SMEs using structured questionnaires on compliance challenges, technology adoption, and training needs. Target response rate: 75%.</w:t>
      </w:r>
    </w:p>
    <w:p>
      <w:pPr>
        <w:numPr>
          <w:ilvl w:val="0"/>
          <w:numId w:val="1002"/>
        </w:numPr>
        <w:pStyle w:val="Compact"/>
      </w:pPr>
      <w:r>
        <w:rPr>
          <w:bCs/>
          <w:b/>
        </w:rPr>
        <w:t xml:space="preserve">Phase 2 (Qualitative):</w:t>
      </w:r>
      <w:r>
        <w:t xml:space="preserve"> </w:t>
      </w:r>
      <w:r>
        <w:t xml:space="preserve">In-depth interviews with 30 key stakeholders: Jeddah Chamber of Commerce executives, CMA regulators, CFOs of major Jeddah-based firms (e.g., Al Rajhi Construction, Zain Saudi), and auditor senior partners. Focus areas: sector-specific risks and regulatory friction points.</w:t>
      </w:r>
    </w:p>
    <w:p>
      <w:pPr>
        <w:numPr>
          <w:ilvl w:val="0"/>
          <w:numId w:val="1002"/>
        </w:numPr>
        <w:pStyle w:val="Compact"/>
      </w:pPr>
      <w:r>
        <w:rPr>
          <w:bCs/>
          <w:b/>
        </w:rPr>
        <w:t xml:space="preserve">Phase 3 (Action Research):</w:t>
      </w:r>
      <w:r>
        <w:t xml:space="preserve"> </w:t>
      </w:r>
      <w:r>
        <w:t xml:space="preserve">Pilot-testing the proposed digital audit toolkit with 5 Jeddah-based firms, measuring improvements in audit efficiency (time-to-close), error detection rates, and stakeholder satisfaction before/after implementation.</w:t>
      </w:r>
    </w:p>
    <w:bookmarkEnd w:id="24"/>
    <w:bookmarkStart w:id="25" w:name="X819bee13ffc78330f7786087386283c632c794b"/>
    <w:p>
      <w:pPr>
        <w:pStyle w:val="Heading2"/>
      </w:pPr>
      <w:r>
        <w:t xml:space="preserve">VI. Expected Outcomes and Significance for Saudi Arabia Jeddah</w:t>
      </w:r>
    </w:p>
    <w:p>
      <w:pPr>
        <w:pStyle w:val="FirstParagraph"/>
      </w:pPr>
      <w:r>
        <w:t xml:space="preserve">This research will deliver three transformative outputs:</w:t>
      </w:r>
    </w:p>
    <w:p>
      <w:pPr>
        <w:numPr>
          <w:ilvl w:val="0"/>
          <w:numId w:val="1003"/>
        </w:numPr>
        <w:pStyle w:val="Compact"/>
      </w:pPr>
      <w:r>
        <w:rPr>
          <w:bCs/>
          <w:b/>
        </w:rPr>
        <w:t xml:space="preserve">A Jeddah-Specific Auditor Competency Matrix:</w:t>
      </w:r>
      <w:r>
        <w:t xml:space="preserve"> </w:t>
      </w:r>
      <w:r>
        <w:t xml:space="preserve">Defining technical skills (IFRS/SAS, data analytics) and cultural competencies (e.g., navigating local business etiquette) required for auditors operating in Jeddah’s distinct environment.</w:t>
      </w:r>
    </w:p>
    <w:p>
      <w:pPr>
        <w:numPr>
          <w:ilvl w:val="0"/>
          <w:numId w:val="1003"/>
        </w:numPr>
        <w:pStyle w:val="Compact"/>
      </w:pPr>
      <w:r>
        <w:rPr>
          <w:bCs/>
          <w:b/>
        </w:rPr>
        <w:t xml:space="preserve">Regulatory Integration Framework:</w:t>
      </w:r>
      <w:r>
        <w:t xml:space="preserve"> </w:t>
      </w:r>
      <w:r>
        <w:t xml:space="preserve">A practical guide mapping Saudi regulations to international standards, reducing audit ambiguity. This directly supports the CMA’s 2024 mandate for enhanced audit quality oversight in Saudi Arabia.</w:t>
      </w:r>
    </w:p>
    <w:p>
      <w:pPr>
        <w:numPr>
          <w:ilvl w:val="0"/>
          <w:numId w:val="1003"/>
        </w:numPr>
        <w:pStyle w:val="Compact"/>
      </w:pPr>
      <w:r>
        <w:rPr>
          <w:bCs/>
          <w:b/>
        </w:rPr>
        <w:t xml:space="preserve">Digital Audit Toolkit:</w:t>
      </w:r>
      <w:r>
        <w:t xml:space="preserve"> </w:t>
      </w:r>
      <w:r>
        <w:t xml:space="preserve">An affordable, cloud-based platform integrating ZATCA e-invoicing validation with sector-specific risk algorithms (e.g., real estate project financing), co-developed with Jeddah’s IT clusters like Jeddah Technology Park.</w:t>
      </w:r>
    </w:p>
    <w:p>
      <w:pPr>
        <w:pStyle w:val="FirstParagraph"/>
      </w:pPr>
      <w:r>
        <w:t xml:space="preserve">The significance extends beyond academia: By elevating auditor effectiveness in Jeddah, this research will directly contribute to Vision 2030’s goals of attracting $50 billion in annual foreign investment by 2030. Improved audit quality reduces capital costs for businesses, accelerates project approvals at Jeddah's Red Sea Project developments, and strengthens investor trust—a critical factor for Saudi Arabia’s global financial integration.</w:t>
      </w:r>
    </w:p>
    <w:bookmarkEnd w:id="25"/>
    <w:bookmarkStart w:id="26" w:name="X75cd097f340cef9f4f2a1b94b97d66684911be8"/>
    <w:p>
      <w:pPr>
        <w:pStyle w:val="Heading2"/>
      </w:pPr>
      <w:r>
        <w:t xml:space="preserve">VII.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Jeddah-Specific Focus</w:t>
            </w:r>
          </w:p>
        </w:tc>
      </w:tr>
      <w:tr>
        <w:tc>
          <w:tcPr/>
          <w:p>
            <w:pPr>
              <w:pStyle w:val="Compact"/>
              <w:jc w:val="left"/>
            </w:pPr>
            <w:r>
              <w:t xml:space="preserve">Field Research &amp; Data Collection</w:t>
            </w:r>
          </w:p>
        </w:tc>
        <w:tc>
          <w:tcPr/>
          <w:p>
            <w:pPr>
              <w:pStyle w:val="Compact"/>
              <w:jc w:val="left"/>
            </w:pPr>
            <w:r>
              <w:t xml:space="preserve">4</w:t>
            </w:r>
          </w:p>
        </w:tc>
        <w:tc>
          <w:tcPr/>
          <w:p>
            <w:pPr>
              <w:pStyle w:val="Compact"/>
              <w:jc w:val="left"/>
            </w:pPr>
            <w:r>
              <w:t xml:space="preserve">Sampling Jeddah’s 70% of KSA's construction audit volume; coordination with Jeddah Chamber of Commerce.</w:t>
            </w:r>
          </w:p>
        </w:tc>
      </w:tr>
      <w:tr>
        <w:tc>
          <w:tcPr/>
          <w:p>
            <w:pPr>
              <w:pStyle w:val="Compact"/>
              <w:jc w:val="left"/>
            </w:pPr>
            <w:r>
              <w:t xml:space="preserve">Competency Framework Development</w:t>
            </w:r>
          </w:p>
        </w:tc>
        <w:tc>
          <w:tcPr/>
          <w:p>
            <w:pPr>
              <w:pStyle w:val="Compact"/>
              <w:jc w:val="left"/>
            </w:pPr>
            <w:r>
              <w:t xml:space="preserve">3</w:t>
            </w:r>
          </w:p>
        </w:tc>
        <w:tc>
          <w:tcPr/>
          <w:p>
            <w:pPr>
              <w:pStyle w:val="Compact"/>
              <w:jc w:val="left"/>
            </w:pPr>
            <w:r>
              <w:t xml:space="preserve">Inclusion of local training institutes (e.g., King Abdullah University for Science and Technology).</w:t>
            </w:r>
          </w:p>
        </w:tc>
      </w:tr>
      <w:tr>
        <w:tc>
          <w:tcPr/>
          <w:p>
            <w:pPr>
              <w:pStyle w:val="Compact"/>
              <w:jc w:val="left"/>
            </w:pPr>
            <w:r>
              <w:t xml:space="preserve">Digital Toolkit Pilot &amp; Refinement</w:t>
            </w:r>
          </w:p>
        </w:tc>
        <w:tc>
          <w:tcPr/>
          <w:p>
            <w:pPr>
              <w:pStyle w:val="Compact"/>
              <w:jc w:val="left"/>
            </w:pPr>
            <w:r>
              <w:t xml:space="preserve">5</w:t>
            </w:r>
          </w:p>
        </w:tc>
        <w:tc>
          <w:tcPr/>
          <w:p>
            <w:pPr>
              <w:pStyle w:val="Compact"/>
              <w:jc w:val="left"/>
            </w:pPr>
            <w:r>
              <w:t xml:space="preserve">Jeddah-based pilot firms; integration with Jeddah Digital City initiatives.</w:t>
            </w:r>
          </w:p>
        </w:tc>
      </w:tr>
      <w:tr>
        <w:tc>
          <w:tcPr/>
          <w:p>
            <w:pPr>
              <w:pStyle w:val="Compact"/>
              <w:jc w:val="left"/>
            </w:pPr>
            <w:r>
              <w:t xml:space="preserve">Dissemination &amp; Policy Engagement</w:t>
            </w:r>
          </w:p>
        </w:tc>
        <w:tc>
          <w:tcPr/>
          <w:p>
            <w:pPr>
              <w:pStyle w:val="Compact"/>
              <w:jc w:val="left"/>
            </w:pPr>
            <w:r>
              <w:t xml:space="preserve">2</w:t>
            </w:r>
          </w:p>
        </w:tc>
        <w:tc>
          <w:tcPr/>
          <w:p>
            <w:pPr>
              <w:pStyle w:val="Compact"/>
              <w:jc w:val="left"/>
            </w:pPr>
            <w:r>
              <w:t xml:space="preserve">Workshops with CMA, SAMA, and Jeddah's Business Leaders Forum.</w:t>
            </w:r>
          </w:p>
        </w:tc>
      </w:tr>
    </w:tbl>
    <w:bookmarkEnd w:id="26"/>
    <w:bookmarkStart w:id="27" w:name="Xe7f6b0a96b584870f88f02334946a4a2965e7fb"/>
    <w:p>
      <w:pPr>
        <w:pStyle w:val="Heading2"/>
      </w:pPr>
      <w:r>
        <w:t xml:space="preserve">VIII. Conclusion: Building a Trusted Audit Ecosystem in Jeddah</w:t>
      </w:r>
    </w:p>
    <w:p>
      <w:pPr>
        <w:pStyle w:val="FirstParagraph"/>
      </w:pPr>
      <w:r>
        <w:t xml:space="preserve">The success of Saudi Arabia’s economic transformation hinges on robust financial governance—where the</w:t>
      </w:r>
      <w:r>
        <w:t xml:space="preserve"> </w:t>
      </w:r>
      <w:r>
        <w:rPr>
          <w:bCs/>
          <w:b/>
        </w:rPr>
        <w:t xml:space="preserve">auditor</w:t>
      </w:r>
      <w:r>
        <w:t xml:space="preserve"> </w:t>
      </w:r>
      <w:r>
        <w:t xml:space="preserve">is not merely a compliance officer but a strategic enabler. This Research Proposal targets the specific operational realities of auditors in Jeddah, Saudi Arabia, recognizing that generic global frameworks cannot address the city’s unique confluence of rapid growth, cultural nuances, and sectoral complexity. By grounding this research in Jeddah’s economic ecosystem—from its bustling port to emerging fintech corridors—we will deliver actionable insights that elevate auditor professionalism across the Kingdom. The outcomes promise not only to enhance audit quality within Jeddah but also to establish a replicable model for other Saudi cities, directly supporting Vision 2030's pillars of economic diversification and global competitiveness. In investing in the</w:t>
      </w:r>
      <w:r>
        <w:t xml:space="preserve"> </w:t>
      </w:r>
      <w:r>
        <w:rPr>
          <w:bCs/>
          <w:b/>
        </w:rPr>
        <w:t xml:space="preserve">Research Proposal</w:t>
      </w:r>
      <w:r>
        <w:t xml:space="preserve">'s vision, Saudi Arabia invests in the integrity underpinning its future as a leading global business destination.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Saudi Arabia Jeddah</dc:title>
  <dc:creator/>
  <dc:language>en</dc:language>
  <cp:keywords/>
  <dcterms:created xsi:type="dcterms:W3CDTF">2026-07-21T00:56:08Z</dcterms:created>
  <dcterms:modified xsi:type="dcterms:W3CDTF">2026-07-21T00:56:08Z</dcterms:modified>
</cp:coreProperties>
</file>

<file path=docProps/custom.xml><?xml version="1.0" encoding="utf-8"?>
<Properties xmlns="http://schemas.openxmlformats.org/officeDocument/2006/custom-properties" xmlns:vt="http://schemas.openxmlformats.org/officeDocument/2006/docPropsVTypes"/>
</file>