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Saudi</w:t>
      </w:r>
      <w:r>
        <w:t xml:space="preserve"> </w:t>
      </w:r>
      <w:r>
        <w:t xml:space="preserve">Arabia</w:t>
      </w:r>
      <w:r>
        <w:t xml:space="preserve"> </w:t>
      </w:r>
      <w:r>
        <w:t xml:space="preserve">Riyadh</w:t>
      </w:r>
      <w:r>
        <w:t xml:space="preserve"> </w:t>
      </w:r>
      <w:r>
        <w:t xml:space="preserve">Context</w:t>
      </w:r>
    </w:p>
    <w:bookmarkStart w:id="27" w:name="X887301763aea274b3fcb40f54337e84e145b049"/>
    <w:p>
      <w:pPr>
        <w:pStyle w:val="Heading1"/>
      </w:pPr>
      <w:r>
        <w:t xml:space="preserve">Research Proposal: Strengthening the Role of the Auditor within Saudi Arabia's Riyadh Business Ecosystem under Vision 2030</w:t>
      </w:r>
    </w:p>
    <w:bookmarkStart w:id="20" w:name="introduction-and-background"/>
    <w:p>
      <w:pPr>
        <w:pStyle w:val="Heading2"/>
      </w:pPr>
      <w:r>
        <w:t xml:space="preserve">1. Introduction and Background</w:t>
      </w:r>
    </w:p>
    <w:p>
      <w:pPr>
        <w:pStyle w:val="FirstParagraph"/>
      </w:pPr>
      <w:r>
        <w:t xml:space="preserve">The Kingdom of Saudi Arabia, spearheaded by its transformative Vision 2030 initiative, is undergoing unprecedented economic diversification and modernization. Central to this national strategy is the enhancement of corporate governance, financial transparency, and regulatory compliance across all sectors. Within this dynamic landscape, the role of the</w:t>
      </w:r>
      <w:r>
        <w:t xml:space="preserve"> </w:t>
      </w:r>
      <w:r>
        <w:rPr>
          <w:iCs/>
          <w:i/>
        </w:rPr>
        <w:t xml:space="preserve">Auditor</w:t>
      </w:r>
      <w:r>
        <w:t xml:space="preserve"> </w:t>
      </w:r>
      <w:r>
        <w:t xml:space="preserve">has evolved from a mere compliance function to a critical strategic partner in building investor confidence and safeguarding economic integrity. Riyadh, as the political, economic, and financial capital of Saudi Arabia (SA), hosts the headquarters of major domestic corporations, multinational subsidiaries operating within KSA, and key regulatory bodies like the Capital Market Authority (CMA) and Saudi Central Bank (SAMA). This concentration necessitates a deep understanding of how</w:t>
      </w:r>
      <w:r>
        <w:t xml:space="preserve"> </w:t>
      </w:r>
      <w:r>
        <w:rPr>
          <w:iCs/>
          <w:i/>
        </w:rPr>
        <w:t xml:space="preserve">Auditor</w:t>
      </w:r>
      <w:r>
        <w:t xml:space="preserve"> </w:t>
      </w:r>
      <w:r>
        <w:t xml:space="preserve">practices specifically operate, adapt, and contribute to Riyadh's unique business environment. This Research Proposal outlines a study dedicated to investigating the current state, challenges, and future trajectory of the</w:t>
      </w:r>
      <w:r>
        <w:t xml:space="preserve"> </w:t>
      </w:r>
      <w:r>
        <w:rPr>
          <w:iCs/>
          <w:i/>
        </w:rPr>
        <w:t xml:space="preserve">Auditor</w:t>
      </w:r>
      <w:r>
        <w:t xml:space="preserve"> </w:t>
      </w:r>
      <w:r>
        <w:t xml:space="preserve">profession within Saudi Arabia Riyadh.</w:t>
      </w:r>
    </w:p>
    <w:bookmarkEnd w:id="20"/>
    <w:bookmarkStart w:id="21" w:name="problem-statement"/>
    <w:p>
      <w:pPr>
        <w:pStyle w:val="Heading2"/>
      </w:pPr>
      <w:r>
        <w:t xml:space="preserve">2. Problem Statement</w:t>
      </w:r>
    </w:p>
    <w:p>
      <w:pPr>
        <w:pStyle w:val="FirstParagraph"/>
      </w:pPr>
      <w:r>
        <w:t xml:space="preserve">Despite significant regulatory advancements (e.g., adoption of IFRS, enhanced CMA regulations), a gap exists in understanding the *operational realities* faced by auditors in Riyadh. Current literature often generalizes auditor practices across the KSA market or focuses on international standards without sufficient contextualization to Riyadh's specific socio-economic dynamics and rapid regulatory evolution. Key issues include:</w:t>
      </w:r>
    </w:p>
    <w:p>
      <w:pPr>
        <w:numPr>
          <w:ilvl w:val="0"/>
          <w:numId w:val="1001"/>
        </w:numPr>
        <w:pStyle w:val="Compact"/>
      </w:pPr>
      <w:r>
        <w:t xml:space="preserve">The practical implementation challenges of new Saudi Auditing Standards (SAS) and IFRS in complex, multi-jurisdictional Riyadh-based entities.</w:t>
      </w:r>
    </w:p>
    <w:p>
      <w:pPr>
        <w:numPr>
          <w:ilvl w:val="0"/>
          <w:numId w:val="1001"/>
        </w:numPr>
        <w:pStyle w:val="Compact"/>
      </w:pPr>
      <w:r>
        <w:t xml:space="preserve">The evolving expectations of stakeholders (regulators like CMA/SAMA, investors, board members) regarding auditor independence, risk assessment depth, and value-added reporting within the Saudi context.</w:t>
      </w:r>
    </w:p>
    <w:p>
      <w:pPr>
        <w:numPr>
          <w:ilvl w:val="0"/>
          <w:numId w:val="1001"/>
        </w:numPr>
        <w:pStyle w:val="Compact"/>
      </w:pPr>
      <w:r>
        <w:t xml:space="preserve">How the unique cultural and business norms prevalent in Riyadh influence auditor-client relationships and ethical decision-making.</w:t>
      </w:r>
    </w:p>
    <w:p>
      <w:pPr>
        <w:numPr>
          <w:ilvl w:val="0"/>
          <w:numId w:val="1001"/>
        </w:numPr>
        <w:pStyle w:val="Compact"/>
      </w:pPr>
      <w:r>
        <w:t xml:space="preserve">The impact of technological advancements (AI in auditing) on the skill sets required for auditors operating effectively within Riyadh's financial hub.</w:t>
      </w:r>
    </w:p>
    <w:p>
      <w:pPr>
        <w:pStyle w:val="FirstParagraph"/>
      </w:pPr>
      <w:r>
        <w:t xml:space="preserve">This research is imperative to move beyond theoretical compliance towards actionable insights that empower the</w:t>
      </w:r>
      <w:r>
        <w:t xml:space="preserve"> </w:t>
      </w:r>
      <w:r>
        <w:rPr>
          <w:iCs/>
          <w:i/>
        </w:rPr>
        <w:t xml:space="preserve">Auditor</w:t>
      </w:r>
      <w:r>
        <w:t xml:space="preserve"> </w:t>
      </w:r>
      <w:r>
        <w:t xml:space="preserve">as a true enabler of Vision 2030's economic goals within Saudi Arabia Riyadh.</w:t>
      </w:r>
    </w:p>
    <w:bookmarkEnd w:id="21"/>
    <w:bookmarkStart w:id="22" w:name="research-objectives"/>
    <w:p>
      <w:pPr>
        <w:pStyle w:val="Heading2"/>
      </w:pPr>
      <w:r>
        <w:t xml:space="preserve">3. Research Objectives</w:t>
      </w:r>
    </w:p>
    <w:p>
      <w:pPr>
        <w:pStyle w:val="FirstParagraph"/>
      </w:pPr>
      <w:r>
        <w:t xml:space="preserve">This study aims to provide a comprehensive, Riyadh-focused analysis of the contemporary Auditor role in Saudi Arabia. Specific objectives are:</w:t>
      </w:r>
    </w:p>
    <w:p>
      <w:pPr>
        <w:numPr>
          <w:ilvl w:val="0"/>
          <w:numId w:val="1002"/>
        </w:numPr>
        <w:pStyle w:val="Compact"/>
      </w:pPr>
      <w:r>
        <w:t xml:space="preserve">To analyze the alignment (or misalignment) between international auditing standards, newly implemented Saudi Auditing Standards (SAS), and actual auditor practices within leading firms operating in Riyadh.</w:t>
      </w:r>
    </w:p>
    <w:p>
      <w:pPr>
        <w:numPr>
          <w:ilvl w:val="0"/>
          <w:numId w:val="1002"/>
        </w:numPr>
        <w:pStyle w:val="Compact"/>
      </w:pPr>
      <w:r>
        <w:t xml:space="preserve">To identify the key challenges faced by auditors in Riyadh concerning regulatory compliance, technological adoption, client expectations, and maintaining independence amidst rapid economic change.</w:t>
      </w:r>
    </w:p>
    <w:p>
      <w:pPr>
        <w:numPr>
          <w:ilvl w:val="0"/>
          <w:numId w:val="1002"/>
        </w:numPr>
        <w:pStyle w:val="Compact"/>
      </w:pPr>
      <w:r>
        <w:t xml:space="preserve">To assess the perceived value proposition of the Auditor by key stakeholders (boards of directors, CMA/SAMA representatives, major investors) specifically within the Riyadh business ecosystem.</w:t>
      </w:r>
    </w:p>
    <w:p>
      <w:pPr>
        <w:numPr>
          <w:ilvl w:val="0"/>
          <w:numId w:val="1002"/>
        </w:numPr>
        <w:pStyle w:val="Compact"/>
      </w:pPr>
      <w:r>
        <w:t xml:space="preserve">To develop evidence-based recommendations for enhancing auditor effectiveness, ethical conduct, and strategic contribution to corporate governance in Saudi Arabia Riyadh.</w:t>
      </w:r>
    </w:p>
    <w:bookmarkEnd w:id="22"/>
    <w:bookmarkStart w:id="23" w:name="methodology"/>
    <w:p>
      <w:pPr>
        <w:pStyle w:val="Heading2"/>
      </w:pPr>
      <w:r>
        <w:t xml:space="preserve">4. Methodology</w:t>
      </w:r>
    </w:p>
    <w:p>
      <w:pPr>
        <w:pStyle w:val="FirstParagraph"/>
      </w:pPr>
      <w:r>
        <w:t xml:space="preserve">A mixed-methods approach will be employed to ensure robust and contextually relevant findings within the Saudi Arabia Riyadh setting:</w:t>
      </w:r>
    </w:p>
    <w:p>
      <w:pPr>
        <w:pStyle w:val="BodyText"/>
      </w:pPr>
      <w:r>
        <w:rPr>
          <w:bCs/>
          <w:b/>
        </w:rPr>
        <w:t xml:space="preserve">Qualitative Phase (In-depth Interviews):</w:t>
      </w:r>
      <w:r>
        <w:t xml:space="preserve"> </w:t>
      </w:r>
      <w:r>
        <w:t xml:space="preserve">Conduct 30-40 semi-structured interviews with key informants in Riyadh, including senior auditors from Big Four firms, local audit firm leaders, CMA/SAMA regulatory officials based in Riyadh, and board members of major Saudi-listed companies headquartered in Riyadh. This will capture nuanced perspectives on challenges and practices.</w:t>
      </w:r>
    </w:p>
    <w:p>
      <w:pPr>
        <w:pStyle w:val="BodyText"/>
      </w:pPr>
      <w:r>
        <w:rPr>
          <w:bCs/>
          <w:b/>
        </w:rPr>
        <w:t xml:space="preserve">Quantitative Phase (Survey):</w:t>
      </w:r>
      <w:r>
        <w:t xml:space="preserve"> </w:t>
      </w:r>
      <w:r>
        <w:t xml:space="preserve">Distribute a structured online survey to a broader sample of auditors (500+), primarily based in Riyadh, focusing on standardization adherence, technology usage, perceived challenges, and stakeholder expectations. The survey will be piloted within Riyadh's professional community.</w:t>
      </w:r>
    </w:p>
    <w:p>
      <w:pPr>
        <w:pStyle w:val="BodyText"/>
      </w:pPr>
      <w:r>
        <w:rPr>
          <w:bCs/>
          <w:b/>
        </w:rPr>
        <w:t xml:space="preserve">Document Analysis:</w:t>
      </w:r>
      <w:r>
        <w:t xml:space="preserve"> </w:t>
      </w:r>
      <w:r>
        <w:t xml:space="preserve">Review recent regulatory changes (CMA Circulars, SAMA directives), audit reports of major Riyadh-based entities (where publicly available), and industry publications specific to Saudi auditing trends.</w:t>
      </w:r>
    </w:p>
    <w:p>
      <w:pPr>
        <w:pStyle w:val="BodyText"/>
      </w:pPr>
      <w:r>
        <w:rPr>
          <w:bCs/>
          <w:b/>
        </w:rPr>
        <w:t xml:space="preserve">Contextualization:</w:t>
      </w:r>
      <w:r>
        <w:t xml:space="preserve"> </w:t>
      </w:r>
      <w:r>
        <w:t xml:space="preserve">All data collection and analysis will be explicitly framed within the Riyadh business environment, considering its status as the nerve center of KSA's economic transformation under Vision 2030.</w:t>
      </w:r>
    </w:p>
    <w:bookmarkEnd w:id="23"/>
    <w:bookmarkStart w:id="24" w:name="significance-of-the-research"/>
    <w:p>
      <w:pPr>
        <w:pStyle w:val="Heading2"/>
      </w:pPr>
      <w:r>
        <w:t xml:space="preserve">5. Significance of the Research</w:t>
      </w:r>
    </w:p>
    <w:p>
      <w:pPr>
        <w:pStyle w:val="FirstParagraph"/>
      </w:pPr>
      <w:r>
        <w:t xml:space="preserve">This research directly addresses critical needs within Saudi Arabia Riyadh:</w:t>
      </w:r>
    </w:p>
    <w:p>
      <w:pPr>
        <w:numPr>
          <w:ilvl w:val="0"/>
          <w:numId w:val="1003"/>
        </w:numPr>
        <w:pStyle w:val="Compact"/>
      </w:pPr>
      <w:r>
        <w:rPr>
          <w:bCs/>
          <w:b/>
        </w:rPr>
        <w:t xml:space="preserve">For Regulators (CMA, SAMA):</w:t>
      </w:r>
      <w:r>
        <w:t xml:space="preserve"> </w:t>
      </w:r>
      <w:r>
        <w:t xml:space="preserve">Provides empirical data on ground-level implementation challenges, informing more effective guidance and enforcement strategies tailored to Riyadh's market dynamics.</w:t>
      </w:r>
    </w:p>
    <w:p>
      <w:pPr>
        <w:numPr>
          <w:ilvl w:val="0"/>
          <w:numId w:val="1003"/>
        </w:numPr>
        <w:pStyle w:val="Compact"/>
      </w:pPr>
      <w:r>
        <w:rPr>
          <w:bCs/>
          <w:b/>
        </w:rPr>
        <w:t xml:space="preserve">For Audit Firms &amp; Auditors in Riyadh:</w:t>
      </w:r>
      <w:r>
        <w:t xml:space="preserve"> </w:t>
      </w:r>
      <w:r>
        <w:t xml:space="preserve">Offers actionable insights for improving practice management, enhancing auditor skills (particularly in tech adoption and complex risk assessment), and strengthening client value propositions within the Saudi context.</w:t>
      </w:r>
    </w:p>
    <w:p>
      <w:pPr>
        <w:numPr>
          <w:ilvl w:val="0"/>
          <w:numId w:val="1003"/>
        </w:numPr>
        <w:pStyle w:val="Compact"/>
      </w:pPr>
      <w:r>
        <w:rPr>
          <w:bCs/>
          <w:b/>
        </w:rPr>
        <w:t xml:space="preserve">For Corporations (Riyadh HQs):</w:t>
      </w:r>
      <w:r>
        <w:t xml:space="preserve"> </w:t>
      </w:r>
      <w:r>
        <w:t xml:space="preserve">Helps boards understand how to optimize their relationship with the Auditor to maximize governance benefits and ensure compliance efficiency.</w:t>
      </w:r>
    </w:p>
    <w:p>
      <w:pPr>
        <w:numPr>
          <w:ilvl w:val="0"/>
          <w:numId w:val="1003"/>
        </w:numPr>
        <w:pStyle w:val="Compact"/>
      </w:pPr>
      <w:r>
        <w:rPr>
          <w:bCs/>
          <w:b/>
        </w:rPr>
        <w:t xml:space="preserve">For Academic &amp; Professional Bodies:</w:t>
      </w:r>
      <w:r>
        <w:t xml:space="preserve"> </w:t>
      </w:r>
      <w:r>
        <w:t xml:space="preserve">Contributes significantly to the nascent body of knowledge on auditing in emerging Gulf economies, specifically focusing on Saudi Arabia Riyadh as a flagship market. This will inform future curricula for accounting programs in KSA.</w:t>
      </w:r>
    </w:p>
    <w:p>
      <w:pPr>
        <w:numPr>
          <w:ilvl w:val="0"/>
          <w:numId w:val="1003"/>
        </w:numPr>
        <w:pStyle w:val="Compact"/>
      </w:pPr>
      <w:r>
        <w:rPr>
          <w:bCs/>
          <w:b/>
        </w:rPr>
        <w:t xml:space="preserve">For Vision 2030:</w:t>
      </w:r>
      <w:r>
        <w:t xml:space="preserve"> </w:t>
      </w:r>
      <w:r>
        <w:t xml:space="preserve">Strengthens the foundational pillars of economic transparency and investor confidence – essential for attracting foreign direct investment and ensuring sustainable growth, directly supporting national objectives centered in Riyadh.</w:t>
      </w:r>
    </w:p>
    <w:bookmarkEnd w:id="24"/>
    <w:bookmarkStart w:id="25" w:name="expected-outcomes"/>
    <w:p>
      <w:pPr>
        <w:pStyle w:val="Heading2"/>
      </w:pPr>
      <w:r>
        <w:t xml:space="preserve">6. Expected Outcomes</w:t>
      </w:r>
    </w:p>
    <w:p>
      <w:pPr>
        <w:pStyle w:val="FirstParagraph"/>
      </w:pPr>
      <w:r>
        <w:t xml:space="preserve">The proposed research is expected to deliver:</w:t>
      </w:r>
    </w:p>
    <w:p>
      <w:pPr>
        <w:numPr>
          <w:ilvl w:val="0"/>
          <w:numId w:val="1004"/>
        </w:numPr>
        <w:pStyle w:val="Compact"/>
      </w:pPr>
      <w:r>
        <w:t xml:space="preserve">A comprehensive report detailing the current state of auditor practices, key challenges, and stakeholder expectations within Riyadh.</w:t>
      </w:r>
    </w:p>
    <w:p>
      <w:pPr>
        <w:numPr>
          <w:ilvl w:val="0"/>
          <w:numId w:val="1004"/>
        </w:numPr>
        <w:pStyle w:val="Compact"/>
      </w:pPr>
      <w:r>
        <w:t xml:space="preserve">Evidence-based recommendations for auditors, firms, and regulators on operational improvements specific to the Saudi Arabia Riyadh context.</w:t>
      </w:r>
    </w:p>
    <w:p>
      <w:pPr>
        <w:numPr>
          <w:ilvl w:val="0"/>
          <w:numId w:val="1004"/>
        </w:numPr>
        <w:pStyle w:val="Compact"/>
      </w:pPr>
      <w:r>
        <w:t xml:space="preserve">Identification of critical skill gaps requiring development within the auditing profession in KSA (with focus on Riyadh).</w:t>
      </w:r>
    </w:p>
    <w:p>
      <w:pPr>
        <w:numPr>
          <w:ilvl w:val="0"/>
          <w:numId w:val="1004"/>
        </w:numPr>
        <w:pStyle w:val="Compact"/>
      </w:pPr>
      <w:r>
        <w:t xml:space="preserve">A framework for enhancing the strategic contribution of the Auditor towards corporate governance excellence in alignment with Vision 2030 goals.</w:t>
      </w:r>
    </w:p>
    <w:p>
      <w:pPr>
        <w:numPr>
          <w:ilvl w:val="0"/>
          <w:numId w:val="1004"/>
        </w:numPr>
        <w:pStyle w:val="Compact"/>
      </w:pPr>
      <w:r>
        <w:t xml:space="preserve">Presentation of findings at key industry forums in Riyadh, including engagement with CMA and local professional accounting bodies.</w:t>
      </w:r>
    </w:p>
    <w:bookmarkEnd w:id="25"/>
    <w:bookmarkStart w:id="26" w:name="conclusion"/>
    <w:p>
      <w:pPr>
        <w:pStyle w:val="Heading2"/>
      </w:pPr>
      <w:r>
        <w:t xml:space="preserve">7. Conclusion</w:t>
      </w:r>
    </w:p>
    <w:p>
      <w:pPr>
        <w:pStyle w:val="FirstParagraph"/>
      </w:pPr>
      <w:r>
        <w:t xml:space="preserve">The role of the Auditor is not merely a compliance function but a strategic imperative for Saudi Arabia's economic future, particularly within its capital city, Riyadh. As the engine room of Vision 2030's implementation, Riyadh demands an auditor profession that is agile, ethically robust, technologically adept, and deeply embedded in understanding the unique Saudi context. This Research Proposal outlines a vital study designed to illuminate the path forward for auditors operating in Saudi Arabia Riyadh. By providing grounded insights specific to this critical market hub, the research will empower stakeholders to build a more transparent, trustworthy, and effective financial reporting ecosystem – directly contributing to the success of Vision 2030 and solidifying Riyadh's position as a leading global financial 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Saudi Arabia Riyadh Context</dc:title>
  <dc:creator/>
  <dc:language>en</dc:language>
  <cp:keywords/>
  <dcterms:created xsi:type="dcterms:W3CDTF">2026-07-17T17:14:18Z</dcterms:created>
  <dcterms:modified xsi:type="dcterms:W3CDTF">2026-07-17T17:14:18Z</dcterms:modified>
</cp:coreProperties>
</file>

<file path=docProps/custom.xml><?xml version="1.0" encoding="utf-8"?>
<Properties xmlns="http://schemas.openxmlformats.org/officeDocument/2006/custom-properties" xmlns:vt="http://schemas.openxmlformats.org/officeDocument/2006/docPropsVTypes"/>
</file>