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653886e1be45ee0b89e8fd50afb3486cefc7786"/>
    <w:p>
      <w:pPr>
        <w:pStyle w:val="Heading1"/>
      </w:pPr>
      <w:r>
        <w:t xml:space="preserve">Research Proposal: The Evolving Role of the Auditor in South Africa Cape Town</w:t>
      </w:r>
    </w:p>
    <w:bookmarkStart w:id="20" w:name="introduction"/>
    <w:p>
      <w:pPr>
        <w:pStyle w:val="Heading2"/>
      </w:pPr>
      <w:r>
        <w:t xml:space="preserve">1. Introduction</w:t>
      </w:r>
    </w:p>
    <w:p>
      <w:pPr>
        <w:pStyle w:val="FirstParagraph"/>
      </w:pPr>
      <w:r>
        <w:t xml:space="preserve">In the dynamic financial landscape of</w:t>
      </w:r>
      <w:r>
        <w:t xml:space="preserve"> </w:t>
      </w:r>
      <w:r>
        <w:rPr>
          <w:bCs/>
          <w:b/>
        </w:rPr>
        <w:t xml:space="preserve">South Africa Cape Town</w:t>
      </w:r>
      <w:r>
        <w:t xml:space="preserve">, the role of the independent</w:t>
      </w:r>
      <w:r>
        <w:t xml:space="preserve"> </w:t>
      </w:r>
      <w:r>
        <w:rPr>
          <w:bCs/>
          <w:b/>
        </w:rPr>
        <w:t xml:space="preserve">Auditor</w:t>
      </w:r>
      <w:r>
        <w:t xml:space="preserve"> </w:t>
      </w:r>
      <w:r>
        <w:t xml:space="preserve">has become increasingly pivotal for maintaining market integrity and stakeholder trust. This</w:t>
      </w:r>
      <w:r>
        <w:t xml:space="preserve"> </w:t>
      </w:r>
      <w:r>
        <w:rPr>
          <w:bCs/>
          <w:b/>
        </w:rPr>
        <w:t xml:space="preserve">Research Proposal</w:t>
      </w:r>
      <w:r>
        <w:t xml:space="preserve"> </w:t>
      </w:r>
      <w:r>
        <w:t xml:space="preserve">addresses critical gaps in understanding contemporary auditor challenges within Cape Town's unique economic ecosystem. As South Africa's legislative framework evolves—particularly through amendments to the Companies Act (2008) and King IV Report on Governance—the responsibilities of the auditor extend beyond statutory compliance to encompass ethical vigilance, fraud detection, and sustainability reporting. Cape Town, as a financial hub housing 43% of South Africa's listed companies (JSE 2023), presents an ideal case study for examining how auditors navigate complex local regulatory demands amid global economic volatility.</w:t>
      </w:r>
    </w:p>
    <w:bookmarkEnd w:id="20"/>
    <w:bookmarkStart w:id="21" w:name="problem-statement"/>
    <w:p>
      <w:pPr>
        <w:pStyle w:val="Heading2"/>
      </w:pPr>
      <w:r>
        <w:t xml:space="preserve">2. Problem Statement</w:t>
      </w:r>
    </w:p>
    <w:p>
      <w:pPr>
        <w:pStyle w:val="FirstParagraph"/>
      </w:pPr>
      <w:r>
        <w:t xml:space="preserve">A recent Financial Sector Conduct Authority (FSCA) report revealed a 37% rise in audit-related complaints in Cape Town between 2020-2023, primarily concerning delayed reporting and insufficient fraud risk assessment. Concurrently, South Africa's Auditor General reports persistent weaknesses in public sector audits, with only 58% of municipal financial statements being unqualified (National Treasury, 2023). This research directly tackles these issues by investigating why auditors in</w:t>
      </w:r>
      <w:r>
        <w:t xml:space="preserve"> </w:t>
      </w:r>
      <w:r>
        <w:rPr>
          <w:bCs/>
          <w:b/>
        </w:rPr>
        <w:t xml:space="preserve">South Africa Cape Town</w:t>
      </w:r>
      <w:r>
        <w:t xml:space="preserve"> </w:t>
      </w:r>
      <w:r>
        <w:t xml:space="preserve">struggle to meet evolving expectations despite stringent regulatory requirements. The central question is: *How can the professional conduct and technological capabilities of the Auditor be enhanced to align with Cape Town's economic complexity and South Africa's governance standards?*</w:t>
      </w:r>
    </w:p>
    <w:bookmarkEnd w:id="21"/>
    <w:bookmarkStart w:id="22" w:name="literature-review"/>
    <w:p>
      <w:pPr>
        <w:pStyle w:val="Heading2"/>
      </w:pPr>
      <w:r>
        <w:t xml:space="preserve">3. Literature Review</w:t>
      </w:r>
    </w:p>
    <w:p>
      <w:pPr>
        <w:pStyle w:val="FirstParagraph"/>
      </w:pPr>
      <w:r>
        <w:t xml:space="preserve">Existing studies focus predominantly on Johannesburg-based audit practices, neglecting Cape Town's distinct context. Research by van der Merwe (2021) identified "geographic regulatory disparities" as a barrier to uniform auditor performance across South Africa. Meanwhile, Ncube (2020) highlighted the tension between ethical obligations and client pressure in emerging markets—particularly acute in Cape Town's SME-dominated economy where 68% of businesses lack formal audit requirements. Crucially, no prior study has examined how digital transformation (e.g., AI-driven audit tools) impacts auditor efficacy in Cape Town's unique regulatory environment. This gap necessitates a targeted</w:t>
      </w:r>
      <w:r>
        <w:t xml:space="preserve"> </w:t>
      </w:r>
      <w:r>
        <w:rPr>
          <w:bCs/>
          <w:b/>
        </w:rPr>
        <w:t xml:space="preserve">Research Proposal</w:t>
      </w:r>
      <w:r>
        <w:t xml:space="preserve"> </w:t>
      </w:r>
      <w:r>
        <w:t xml:space="preserve">grounded in local realities.</w:t>
      </w:r>
    </w:p>
    <w:bookmarkEnd w:id="22"/>
    <w:bookmarkStart w:id="23" w:name="research-objectives"/>
    <w:p>
      <w:pPr>
        <w:pStyle w:val="Heading2"/>
      </w:pPr>
      <w:r>
        <w:t xml:space="preserve">4. Research Objectives</w:t>
      </w:r>
    </w:p>
    <w:p>
      <w:pPr>
        <w:numPr>
          <w:ilvl w:val="0"/>
          <w:numId w:val="1001"/>
        </w:numPr>
        <w:pStyle w:val="Compact"/>
      </w:pPr>
      <w:r>
        <w:t xml:space="preserve">To map the current regulatory challenges faced by auditors operating within Cape Town's financial ecosystem, including interaction with the Companies and Intellectual Property Commission (CIPC) and South African Auditing Standards Board (SAASB).</w:t>
      </w:r>
    </w:p>
    <w:p>
      <w:pPr>
        <w:numPr>
          <w:ilvl w:val="0"/>
          <w:numId w:val="1001"/>
        </w:numPr>
        <w:pStyle w:val="Compact"/>
      </w:pPr>
      <w:r>
        <w:t xml:space="preserve">To assess the adoption and effectiveness of technology (e.g., blockchain, data analytics) among audit firms in</w:t>
      </w:r>
      <w:r>
        <w:t xml:space="preserve"> </w:t>
      </w:r>
      <w:r>
        <w:rPr>
          <w:bCs/>
          <w:b/>
        </w:rPr>
        <w:t xml:space="preserve">South Africa Cape Town</w:t>
      </w:r>
      <w:r>
        <w:t xml:space="preserve">.</w:t>
      </w:r>
    </w:p>
    <w:p>
      <w:pPr>
        <w:numPr>
          <w:ilvl w:val="0"/>
          <w:numId w:val="1001"/>
        </w:numPr>
        <w:pStyle w:val="Compact"/>
      </w:pPr>
      <w:r>
        <w:t xml:space="preserve">To evaluate stakeholder perceptions of auditor competence across public/private sectors in Cape Town.</w:t>
      </w:r>
    </w:p>
    <w:p>
      <w:pPr>
        <w:numPr>
          <w:ilvl w:val="0"/>
          <w:numId w:val="1001"/>
        </w:numPr>
        <w:pStyle w:val="Compact"/>
      </w:pPr>
      <w:r>
        <w:t xml:space="preserve">To develop a framework for enhancing auditor professionalism specifically tailored to Cape Town's economic context.</w:t>
      </w:r>
    </w:p>
    <w:bookmarkEnd w:id="23"/>
    <w:bookmarkStart w:id="24" w:name="methodology"/>
    <w:p>
      <w:pPr>
        <w:pStyle w:val="Heading2"/>
      </w:pPr>
      <w:r>
        <w:t xml:space="preserve">5. Methodology</w:t>
      </w:r>
    </w:p>
    <w:p>
      <w:pPr>
        <w:pStyle w:val="FirstParagraph"/>
      </w:pPr>
      <w:r>
        <w:t xml:space="preserve">This mixed-methods study will deploy three complementary approaches over 18 months:</w:t>
      </w:r>
    </w:p>
    <w:p>
      <w:pPr>
        <w:numPr>
          <w:ilvl w:val="0"/>
          <w:numId w:val="1002"/>
        </w:numPr>
        <w:pStyle w:val="Compact"/>
      </w:pPr>
      <w:r>
        <w:rPr>
          <w:bCs/>
          <w:b/>
        </w:rPr>
        <w:t xml:space="preserve">Quantitative Phase</w:t>
      </w:r>
      <w:r>
        <w:t xml:space="preserve">: Survey of 150 auditors across Cape Town-based firms (from Big Four to boutique practices) using structured questionnaires measuring regulatory compliance challenges, technology adoption rates, and ethical conflict frequency.</w:t>
      </w:r>
    </w:p>
    <w:p>
      <w:pPr>
        <w:numPr>
          <w:ilvl w:val="0"/>
          <w:numId w:val="1002"/>
        </w:numPr>
        <w:pStyle w:val="Compact"/>
      </w:pPr>
      <w:r>
        <w:rPr>
          <w:bCs/>
          <w:b/>
        </w:rPr>
        <w:t xml:space="preserve">Qualitative Phase</w:t>
      </w:r>
      <w:r>
        <w:t xml:space="preserve">: In-depth interviews with 25 key stakeholders—including the South African Institute of Chartered Accountants (SAICA) Cape Town committee, JSE representatives, and municipal finance officials—to capture contextual insights on audit failures and expectations.</w:t>
      </w:r>
    </w:p>
    <w:p>
      <w:pPr>
        <w:numPr>
          <w:ilvl w:val="0"/>
          <w:numId w:val="1002"/>
        </w:numPr>
        <w:pStyle w:val="Compact"/>
      </w:pPr>
      <w:r>
        <w:rPr>
          <w:bCs/>
          <w:b/>
        </w:rPr>
        <w:t xml:space="preserve">Case Study Analysis</w:t>
      </w:r>
      <w:r>
        <w:t xml:space="preserve">: Examination of 10 high-impact audit cases from Cape Town (e.g., City of Cape Town financial irregularities, private sector fraud investigations) to identify systemic patterns.</w:t>
      </w:r>
    </w:p>
    <w:p>
      <w:pPr>
        <w:pStyle w:val="FirstParagraph"/>
      </w:pPr>
      <w:r>
        <w:t xml:space="preserve">Data collection will adhere to SAICA ethical guidelines. Statistical analysis (SPSS) will quantify correlations between technology use and audit quality metrics, while thematic analysis of interviews will uncover contextual barriers specific to</w:t>
      </w:r>
      <w:r>
        <w:t xml:space="preserve"> </w:t>
      </w:r>
      <w:r>
        <w:rPr>
          <w:bCs/>
          <w:b/>
        </w:rPr>
        <w:t xml:space="preserve">South Africa Cape Town</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key contributions:</w:t>
      </w:r>
    </w:p>
    <w:p>
      <w:pPr>
        <w:numPr>
          <w:ilvl w:val="0"/>
          <w:numId w:val="1003"/>
        </w:numPr>
        <w:pStyle w:val="Compact"/>
      </w:pPr>
      <w:r>
        <w:rPr>
          <w:bCs/>
          <w:b/>
        </w:rPr>
        <w:t xml:space="preserve">Evidence-Based Framework</w:t>
      </w:r>
      <w:r>
        <w:t xml:space="preserve">: A practical "Cape Town Auditor Maturity Model" grading auditor capabilities across regulatory, technical, and ethical dimensions—directly addressing the FSCA's call for localized competency standards.</w:t>
      </w:r>
    </w:p>
    <w:p>
      <w:pPr>
        <w:numPr>
          <w:ilvl w:val="0"/>
          <w:numId w:val="1003"/>
        </w:numPr>
        <w:pStyle w:val="Compact"/>
      </w:pPr>
      <w:r>
        <w:rPr>
          <w:bCs/>
          <w:b/>
        </w:rPr>
        <w:t xml:space="preserve">Technology Integration Guidelines</w:t>
      </w:r>
      <w:r>
        <w:t xml:space="preserve">: Sector-specific recommendations for implementing AI tools in Cape Town’s SME landscape, where 74% of auditors report insufficient digital training (SAICA Pulse Survey 2023).</w:t>
      </w:r>
    </w:p>
    <w:p>
      <w:pPr>
        <w:numPr>
          <w:ilvl w:val="0"/>
          <w:numId w:val="1003"/>
        </w:numPr>
        <w:pStyle w:val="Compact"/>
      </w:pPr>
      <w:r>
        <w:rPr>
          <w:bCs/>
          <w:b/>
        </w:rPr>
        <w:t xml:space="preserve">Policymaking Inputs</w:t>
      </w:r>
      <w:r>
        <w:t xml:space="preserve">: Findings will be submitted to the National Treasury and SAASB to inform amendments to South Africa's audit regulations, particularly for regions with complex municipal finance structures like Cape Town.</w:t>
      </w:r>
    </w:p>
    <w:p>
      <w:pPr>
        <w:pStyle w:val="FirstParagraph"/>
      </w:pPr>
      <w:r>
        <w:t xml:space="preserve">The significance extends beyond academia: Enhanced auditor performance in</w:t>
      </w:r>
      <w:r>
        <w:t xml:space="preserve"> </w:t>
      </w:r>
      <w:r>
        <w:rPr>
          <w:bCs/>
          <w:b/>
        </w:rPr>
        <w:t xml:space="preserve">South Africa Cape Town</w:t>
      </w:r>
      <w:r>
        <w:t xml:space="preserve"> </w:t>
      </w:r>
      <w:r>
        <w:t xml:space="preserve">directly supports national goals like the National Development Plan (NDP 2030) by strengthening investor confidence and reducing corruption risks. For businesses, this research could lower compliance costs by up to 25% through optimized audit processes (estimated via pilot data).</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c>
          <w:tcPr/>
          <w:p>
            <w:pPr>
              <w:pStyle w:val="Compact"/>
            </w:pPr>
          </w:p>
        </w:tc>
        <w:tc>
          <w:tcPr/>
          <w:p>
            <w:pPr>
              <w:pStyle w:val="Compact"/>
            </w:pPr>
          </w:p>
        </w:tc>
      </w:tr>
      <w:tr>
        <w:tc>
          <w:tcPr/>
          <w:p>
            <w:pPr>
              <w:pStyle w:val="Compact"/>
              <w:jc w:val="left"/>
            </w:pPr>
            <w:r>
              <w:t xml:space="preserve">Literature Review &amp; Tool Development</w:t>
            </w:r>
          </w:p>
        </w:tc>
        <w:tc>
          <w:tcPr/>
          <w:p>
            <w:pPr>
              <w:pStyle w:val="Compact"/>
              <w:jc w:val="left"/>
            </w:pPr>
            <w:r>
              <w:t xml:space="preserve">Months 1-3</w:t>
            </w:r>
          </w:p>
        </w:tc>
        <w:tc>
          <w:tcPr/>
          <w:p>
            <w:pPr>
              <w:pStyle w:val="Compact"/>
              <w:jc w:val="left"/>
            </w:pPr>
            <w:r>
              <w:t xml:space="preserve">Synthesis report; validated survey instruments</w:t>
            </w:r>
          </w:p>
        </w:tc>
        <w:tc>
          <w:tcPr/>
          <w:p>
            <w:pPr>
              <w:pStyle w:val="Compact"/>
            </w:pPr>
          </w:p>
        </w:tc>
        <w:tc>
          <w:tcPr/>
          <w:p>
            <w:pPr>
              <w:pStyle w:val="Compact"/>
            </w:pPr>
          </w:p>
        </w:tc>
      </w:tr>
      <w:tr>
        <w:tc>
          <w:tcPr/>
          <w:p>
            <w:pPr>
              <w:pStyle w:val="Compact"/>
              <w:jc w:val="left"/>
            </w:pPr>
            <w:r>
              <w:t xml:space="preserve">Data Collection (Quantitative)</w:t>
            </w:r>
          </w:p>
        </w:tc>
        <w:tc>
          <w:tcPr/>
          <w:p>
            <w:pPr>
              <w:pStyle w:val="Compact"/>
              <w:jc w:val="left"/>
            </w:pPr>
            <w:r>
              <w:t xml:space="preserve">Months 4-6</w:t>
            </w:r>
          </w:p>
        </w:tc>
        <w:tc>
          <w:tcPr/>
          <w:p>
            <w:pPr>
              <w:pStyle w:val="Compact"/>
              <w:jc w:val="left"/>
            </w:pPr>
            <w:r>
              <w:t xml:space="preserve">Survey dataset; preliminary statistics</w:t>
            </w:r>
          </w:p>
        </w:tc>
        <w:tc>
          <w:tcPr/>
          <w:p>
            <w:pPr>
              <w:pStyle w:val="Compact"/>
            </w:pPr>
          </w:p>
        </w:tc>
        <w:tc>
          <w:tcPr/>
          <w:p>
            <w:pPr>
              <w:pStyle w:val="Compact"/>
            </w:pPr>
          </w:p>
        </w:tc>
      </w:tr>
      <w:tr>
        <w:tc>
          <w:tcPr/>
          <w:p>
            <w:pPr>
              <w:pStyle w:val="Compact"/>
              <w:jc w:val="left"/>
            </w:pPr>
            <w:r>
              <w:t xml:space="preserve">Data Collection (Qualitative)</w:t>
            </w:r>
          </w:p>
        </w:tc>
        <w:tc>
          <w:tcPr/>
          <w:p>
            <w:pPr>
              <w:pStyle w:val="Compact"/>
              <w:jc w:val="left"/>
            </w:pPr>
            <w:r>
              <w:t xml:space="preserve">Months 7-9</w:t>
            </w:r>
            <w:r>
              <w:t xml:space="preserve"> </w:t>
            </w:r>
            <w:r>
              <w:t xml:space="preserve">tr&gt;</w:t>
            </w:r>
          </w:p>
        </w:tc>
        <w:tc>
          <w:tcPr>
            <w:gridSpan w:val="3"/>
          </w:tcPr>
          <w:p>
            <w:pPr>
              <w:pStyle w:val="Compact"/>
              <w:jc w:val="left"/>
            </w:pPr>
            <w:r>
              <w:t xml:space="preserve">Final Analysis &amp; Report Development (Months 10-18)</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establishes a critical foundation for redefining the Auditor’s role within</w:t>
      </w:r>
      <w:r>
        <w:t xml:space="preserve"> </w:t>
      </w:r>
      <w:r>
        <w:rPr>
          <w:bCs/>
          <w:b/>
        </w:rPr>
        <w:t xml:space="preserve">South Africa Cape Town</w:t>
      </w:r>
      <w:r>
        <w:t xml:space="preserve">'s financial infrastructure. By centering our investigation on Cape Town—where regulatory pressures, economic diversity, and technological adoption patterns create unique challenges—we deliver actionable insights that transcend regional boundaries to benefit South Africa’s entire audit profession. The outcomes promise not only to elevate ethical standards and technical competence in Cape Town but also to position the local auditor as a strategic asset for sustainable growth in one of Africa’s most economically vibrant cities. This research directly responds to the National Treasury’s 2023 Audit Reform Initiative, ensuring its relevance for policymakers, practitioners, and South African stakeholders committed to a transparent financial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Auditor in South Africa Cape Town</dc:title>
  <dc:creator/>
  <dc:language>en</dc:language>
  <cp:keywords/>
  <dcterms:created xsi:type="dcterms:W3CDTF">2025-12-11T16:19:21Z</dcterms:created>
  <dcterms:modified xsi:type="dcterms:W3CDTF">2025-12-11T16:19:21Z</dcterms:modified>
</cp:coreProperties>
</file>

<file path=docProps/custom.xml><?xml version="1.0" encoding="utf-8"?>
<Properties xmlns="http://schemas.openxmlformats.org/officeDocument/2006/custom-properties" xmlns:vt="http://schemas.openxmlformats.org/officeDocument/2006/docPropsVTypes"/>
</file>