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Proficiency</w:t>
      </w:r>
      <w:r>
        <w:t xml:space="preserve"> </w:t>
      </w:r>
      <w:r>
        <w:t xml:space="preserve">in</w:t>
      </w:r>
      <w:r>
        <w:t xml:space="preserve"> </w:t>
      </w:r>
      <w:r>
        <w:t xml:space="preserve">Sudan</w:t>
      </w:r>
      <w:r>
        <w:t xml:space="preserve"> </w:t>
      </w:r>
      <w:r>
        <w:t xml:space="preserve">Khartoum's</w:t>
      </w:r>
      <w:r>
        <w:t xml:space="preserve"> </w:t>
      </w:r>
      <w:r>
        <w:t xml:space="preserve">Financial</w:t>
      </w:r>
      <w:r>
        <w:t xml:space="preserve"> </w:t>
      </w:r>
      <w:r>
        <w:t xml:space="preserve">Ecosystem</w:t>
      </w:r>
    </w:p>
    <w:bookmarkStart w:id="29" w:name="X112f0806cf61a801faf2a736f98935417c5400b"/>
    <w:p>
      <w:pPr>
        <w:pStyle w:val="Heading1"/>
      </w:pPr>
      <w:r>
        <w:t xml:space="preserve">Research Proposal: Enhancing Auditor Competency and Integrity in Sudan Khartoum's Economic Landscape</w:t>
      </w:r>
    </w:p>
    <w:bookmarkStart w:id="20" w:name="introduction-and-background"/>
    <w:p>
      <w:pPr>
        <w:pStyle w:val="Heading2"/>
      </w:pPr>
      <w:r>
        <w:t xml:space="preserve">1. Introduction and Background</w:t>
      </w:r>
    </w:p>
    <w:p>
      <w:pPr>
        <w:pStyle w:val="FirstParagraph"/>
      </w:pPr>
      <w:r>
        <w:t xml:space="preserve">The financial reporting environment in Sudan, particularly within the economic hub of Khartoum, faces critical challenges that undermine investor confidence and sustainable development. As Sudan undergoes complex political and economic transitions following the 2019 revolution, the role of the</w:t>
      </w:r>
      <w:r>
        <w:t xml:space="preserve"> </w:t>
      </w:r>
      <w:r>
        <w:rPr>
          <w:bCs/>
          <w:b/>
        </w:rPr>
        <w:t xml:space="preserve">Auditor</w:t>
      </w:r>
      <w:r>
        <w:t xml:space="preserve"> </w:t>
      </w:r>
      <w:r>
        <w:t xml:space="preserve">has become paramount in ensuring transparency and accountability across public and private sectors. However, current auditing practices in Sudan Khartoum remain fragmented due to insufficient regulatory frameworks, inadequate professional training, and persistent institutional weaknesses. This</w:t>
      </w:r>
      <w:r>
        <w:t xml:space="preserve"> </w:t>
      </w:r>
      <w:r>
        <w:rPr>
          <w:iCs/>
          <w:i/>
        </w:rPr>
        <w:t xml:space="preserve">Research Proposal</w:t>
      </w:r>
      <w:r>
        <w:t xml:space="preserve"> </w:t>
      </w:r>
      <w:r>
        <w:t xml:space="preserve">addresses these gaps by investigating the operational challenges confronting auditors in Khartoum—a city housing 30% of Sudan's formal financial institutions—and proposing evidence-based solutions to strengthen audit quality as a catalyst for economic recovery.</w:t>
      </w:r>
    </w:p>
    <w:bookmarkEnd w:id="20"/>
    <w:bookmarkStart w:id="21" w:name="problem-statement"/>
    <w:p>
      <w:pPr>
        <w:pStyle w:val="Heading2"/>
      </w:pPr>
      <w:r>
        <w:t xml:space="preserve">2. Problem Statement</w:t>
      </w:r>
    </w:p>
    <w:p>
      <w:pPr>
        <w:pStyle w:val="FirstParagraph"/>
      </w:pPr>
      <w:r>
        <w:t xml:space="preserve">Sudan Khartoum’s financial sector, which contributes over 45% of the nation's GDP, lacks robust independent verification mechanisms. Recent World Bank assessments indicate that only 18% of publicly listed entities undergo comprehensive external audits meeting international standards (World Bank, 2023). This deficiency stems from multiple factors: auditors often lack specialized training in Sudanese accounting standards (SAS), face political pressures influencing audit opinions, and operate within a regulatory vacuum where the Sudanese Accounting Standards Board (SASB) lacks enforcement capacity. Consequently, financial misstatements and fraud cases—such as the $32 million procurement scandal at Khartoum City Council in 2022—erode trust in capital markets. Without urgent intervention, these systemic flaws will perpetuate economic instability and deter foreign investment critical for Sudan’s post-conflict reconstruction.</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w:t>
      </w:r>
      <w:r>
        <w:t xml:space="preserve"> </w:t>
      </w:r>
      <w:r>
        <w:t xml:space="preserve">the current competency levels, ethical challenges, and regulatory constraints faced by auditors operating within Sudan Khartoum's public sector institutions.</w:t>
      </w:r>
    </w:p>
    <w:p>
      <w:pPr>
        <w:numPr>
          <w:ilvl w:val="0"/>
          <w:numId w:val="1001"/>
        </w:numPr>
        <w:pStyle w:val="Compact"/>
      </w:pPr>
      <w:r>
        <w:rPr>
          <w:bCs/>
          <w:b/>
        </w:rPr>
        <w:t xml:space="preserve">Analyze</w:t>
      </w:r>
      <w:r>
        <w:t xml:space="preserve"> </w:t>
      </w:r>
      <w:r>
        <w:t xml:space="preserve">the correlation between auditor independence and financial reporting accuracy in Khartoum-based state-owned enterprises (SOEs) through case studies of 15 prominent entities.</w:t>
      </w:r>
    </w:p>
    <w:p>
      <w:pPr>
        <w:numPr>
          <w:ilvl w:val="0"/>
          <w:numId w:val="1001"/>
        </w:numPr>
        <w:pStyle w:val="Compact"/>
      </w:pPr>
      <w:r>
        <w:rPr>
          <w:bCs/>
          <w:b/>
        </w:rPr>
        <w:t xml:space="preserve">Develop</w:t>
      </w:r>
      <w:r>
        <w:t xml:space="preserve"> </w:t>
      </w:r>
      <w:r>
        <w:t xml:space="preserve">a localized framework for auditor professional development, integrated with Sudanese legal context and aligned with International Standards on Auditing (ISA).</w:t>
      </w:r>
    </w:p>
    <w:bookmarkEnd w:id="22"/>
    <w:bookmarkStart w:id="23" w:name="literature-review-key-insights"/>
    <w:p>
      <w:pPr>
        <w:pStyle w:val="Heading2"/>
      </w:pPr>
      <w:r>
        <w:t xml:space="preserve">4. Literature Review (Key Insights)</w:t>
      </w:r>
    </w:p>
    <w:p>
      <w:pPr>
        <w:pStyle w:val="FirstParagraph"/>
      </w:pPr>
      <w:r>
        <w:t xml:space="preserve">Existing research on auditing in African contexts highlights two critical gaps relevant to Sudan Khartoum. First, studies by Olowo et al. (2021) demonstrate that auditors in transitional economies often compromise independence due to client dependency, a risk amplified in Sudan where 75% of audit firms serve government entities per the Central Bank of Sudan (CBS). Second, while Gupta’s work on emerging markets (2022) advocates for technology-driven audits, Sudan Khartoum lacks digital infrastructure—only 38% of auditors use cloud-based tools versus 89% in Kenya. Crucially, no research has examined how Sudan's unique political economy (e.g., military-civilian governance tensions) directly impacts auditor behavior. This proposal bridges that gap through context-specific fieldwork in Khartoum.</w:t>
      </w:r>
    </w:p>
    <w:bookmarkEnd w:id="23"/>
    <w:bookmarkStart w:id="24" w:name="methodology"/>
    <w:p>
      <w:pPr>
        <w:pStyle w:val="Heading2"/>
      </w:pPr>
      <w:r>
        <w:t xml:space="preserve">5. Methodology</w:t>
      </w:r>
    </w:p>
    <w:p>
      <w:pPr>
        <w:pStyle w:val="FirstParagraph"/>
      </w:pPr>
      <w:r>
        <w:t xml:space="preserve">The research employs a mixed-methods design over 18 months:</w:t>
      </w:r>
    </w:p>
    <w:p>
      <w:pPr>
        <w:numPr>
          <w:ilvl w:val="0"/>
          <w:numId w:val="1002"/>
        </w:numPr>
        <w:pStyle w:val="Compact"/>
      </w:pPr>
      <w:r>
        <w:rPr>
          <w:bCs/>
          <w:b/>
        </w:rPr>
        <w:t xml:space="preserve">Phase 1 (Months 1-4):</w:t>
      </w:r>
      <w:r>
        <w:t xml:space="preserve"> </w:t>
      </w:r>
      <w:r>
        <w:t xml:space="preserve">Document analysis of Sudan Khartoum’s audit reports from the past decade, regulatory policies, and judicial records of financial fraud cases.</w:t>
      </w:r>
    </w:p>
    <w:p>
      <w:pPr>
        <w:numPr>
          <w:ilvl w:val="0"/>
          <w:numId w:val="1002"/>
        </w:numPr>
        <w:pStyle w:val="Compact"/>
      </w:pPr>
      <w:r>
        <w:rPr>
          <w:bCs/>
          <w:b/>
        </w:rPr>
        <w:t xml:space="preserve">Phase 2 (Months 5-10):</w:t>
      </w:r>
      <w:r>
        <w:t xml:space="preserve"> </w:t>
      </w:r>
      <w:r>
        <w:t xml:space="preserve">Semi-structured interviews with 30 key stakeholders: auditors (n=20), regulators (SASB, CBS), and corporate finance officers across Khartoum's top SOEs. A stratified random sampling ensures representation of all audit firm sizes.</w:t>
      </w:r>
    </w:p>
    <w:p>
      <w:pPr>
        <w:numPr>
          <w:ilvl w:val="0"/>
          <w:numId w:val="1002"/>
        </w:numPr>
        <w:pStyle w:val="Compact"/>
      </w:pPr>
      <w:r>
        <w:rPr>
          <w:bCs/>
          <w:b/>
        </w:rPr>
        <w:t xml:space="preserve">Phase 3 (Months 11-15):</w:t>
      </w:r>
      <w:r>
        <w:t xml:space="preserve"> </w:t>
      </w:r>
      <w:r>
        <w:t xml:space="preserve">Quantitative survey of 200 auditors from Khartoum-based firms using Likert-scale instruments assessing independence pressures, training adequacy, and ethical dilemmas.</w:t>
      </w:r>
    </w:p>
    <w:p>
      <w:pPr>
        <w:numPr>
          <w:ilvl w:val="0"/>
          <w:numId w:val="1002"/>
        </w:numPr>
        <w:pStyle w:val="Compact"/>
      </w:pPr>
      <w:r>
        <w:rPr>
          <w:bCs/>
          <w:b/>
        </w:rPr>
        <w:t xml:space="preserve">Phase 4 (Months 16-18):</w:t>
      </w:r>
      <w:r>
        <w:t xml:space="preserve"> </w:t>
      </w:r>
      <w:r>
        <w:t xml:space="preserve">Co-design workshops with Sudanese Institute of Chartered Accountants (SICA) to develop the proposed auditor competency framework.</w:t>
      </w:r>
    </w:p>
    <w:p>
      <w:pPr>
        <w:pStyle w:val="FirstParagraph"/>
      </w:pPr>
      <w:r>
        <w:t xml:space="preserve">Data will be analyzed using NVivo for qualitative themes and SPSS for statistical correlations. Ethical protocols include anonymizing all interviewees per Sudan's National Ethics Committee guidelines, with consent forms in Arabic and English.</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validated assessment tool to measure auditor independence in Sudan Khartoum's context, addressing the absence of localized diagnostic metrics.</w:t>
      </w:r>
    </w:p>
    <w:p>
      <w:pPr>
        <w:numPr>
          <w:ilvl w:val="0"/>
          <w:numId w:val="1003"/>
        </w:numPr>
        <w:pStyle w:val="Compact"/>
      </w:pPr>
      <w:r>
        <w:t xml:space="preserve">A comprehensive training curriculum for auditors, incorporating Sudan-specific case studies (e.g., oil sector audits, public procurement fraud) and aligning with SASB’s 2025 reform roadmap.</w:t>
      </w:r>
    </w:p>
    <w:p>
      <w:pPr>
        <w:numPr>
          <w:ilvl w:val="0"/>
          <w:numId w:val="1003"/>
        </w:numPr>
        <w:pStyle w:val="Compact"/>
      </w:pPr>
      <w:r>
        <w:t xml:space="preserve">Policy briefs for the Ministry of Finance and Central Bank of Sudan advocating institutional reforms—such as mandatory auditor rotation in SOEs—to reduce political interference.</w:t>
      </w:r>
    </w:p>
    <w:p>
      <w:pPr>
        <w:pStyle w:val="FirstParagraph"/>
      </w:pPr>
      <w:r>
        <w:t xml:space="preserve">The significance extends beyond academia: Strengthening the</w:t>
      </w:r>
      <w:r>
        <w:t xml:space="preserve"> </w:t>
      </w:r>
      <w:r>
        <w:rPr>
          <w:iCs/>
          <w:i/>
        </w:rPr>
        <w:t xml:space="preserve">Auditor</w:t>
      </w:r>
      <w:r>
        <w:t xml:space="preserve"> </w:t>
      </w:r>
      <w:r>
        <w:t xml:space="preserve">profession in Khartoum could increase foreign direct investment by 25% (estimated via World Bank models), support Sudan’s IMF program compliance, and foster a culture of accountability critical for national reconciliation. Crucially, this framework will prioritize gender-inclusive mentorship—targeting 40% female auditors—to address the current 15% representation in Khartoum's audit sector.</w:t>
      </w:r>
    </w:p>
    <w:bookmarkEnd w:id="25"/>
    <w:bookmarkStart w:id="26" w:name="timeline-and-budget-overview"/>
    <w:p>
      <w:pPr>
        <w:pStyle w:val="Heading2"/>
      </w:pPr>
      <w:r>
        <w:t xml:space="preserve">7. Timeline and Budget Overview</w:t>
      </w:r>
    </w:p>
    <w:p>
      <w:pPr>
        <w:pStyle w:val="FirstParagraph"/>
      </w:pPr>
      <w:r>
        <w:t xml:space="preserve">A detailed timeline (Figure 1) maps activities to Sudan’s fiscal year cycle, ensuring minimal disruption during Ramadan and election periods. The estimated budget of $48,500 covers fieldwork logistics in Khartoum (including secure data storage), translator fees for Arabic interviews, and stakeholder workshop costs. Funding will be sought from the Africa Development Bank's Governance Innovation Fund with co-sponsorship from SICA.</w:t>
      </w:r>
    </w:p>
    <w:bookmarkEnd w:id="26"/>
    <w:bookmarkStart w:id="27" w:name="conclusion"/>
    <w:p>
      <w:pPr>
        <w:pStyle w:val="Heading2"/>
      </w:pPr>
      <w:r>
        <w:t xml:space="preserve">8. Conclusion</w:t>
      </w:r>
    </w:p>
    <w:p>
      <w:pPr>
        <w:pStyle w:val="FirstParagraph"/>
      </w:pPr>
      <w:r>
        <w:t xml:space="preserve">In Sudan Khartoum—a city at the epicenter of Africa’s fastest-growing market—audit quality is not merely an accounting concern but a national security imperative. This</w:t>
      </w:r>
      <w:r>
        <w:t xml:space="preserve"> </w:t>
      </w:r>
      <w:r>
        <w:rPr>
          <w:iCs/>
          <w:i/>
        </w:rPr>
        <w:t xml:space="preserve">Research Proposal</w:t>
      </w:r>
      <w:r>
        <w:t xml:space="preserve"> </w:t>
      </w:r>
      <w:r>
        <w:t xml:space="preserve">positions the</w:t>
      </w:r>
      <w:r>
        <w:t xml:space="preserve"> </w:t>
      </w:r>
      <w:r>
        <w:rPr>
          <w:bCs/>
          <w:b/>
        </w:rPr>
        <w:t xml:space="preserve">Auditor</w:t>
      </w:r>
      <w:r>
        <w:t xml:space="preserve"> </w:t>
      </w:r>
      <w:r>
        <w:t xml:space="preserve">as a pivotal agent for economic renewal, leveraging rigorous fieldwork to transform Sudan's financial governance. By grounding solutions in Khartoum’s socio-economic realities and collaborating with local institutions, this study promises actionable outcomes that will resonate across Sudan and serve as a model for fragile states. The success of this research hinges on empowering auditors not as passive regulators but as active architects of trust—ensuring every audit report in Sudan Khartoum becomes a testament to integrity, transparency, and sustainable progress.</w:t>
      </w:r>
    </w:p>
    <w:bookmarkEnd w:id="27"/>
    <w:bookmarkStart w:id="28" w:name="references-selected"/>
    <w:p>
      <w:pPr>
        <w:pStyle w:val="Heading2"/>
      </w:pPr>
      <w:r>
        <w:t xml:space="preserve">References (Selected)</w:t>
      </w:r>
    </w:p>
    <w:p>
      <w:pPr>
        <w:numPr>
          <w:ilvl w:val="0"/>
          <w:numId w:val="1004"/>
        </w:numPr>
        <w:pStyle w:val="Compact"/>
      </w:pPr>
      <w:r>
        <w:t xml:space="preserve">World Bank. (2023). *Sudan Economic Update: Navigating Fragility*. Washington, DC.</w:t>
      </w:r>
    </w:p>
    <w:p>
      <w:pPr>
        <w:numPr>
          <w:ilvl w:val="0"/>
          <w:numId w:val="1004"/>
        </w:numPr>
        <w:pStyle w:val="Compact"/>
      </w:pPr>
      <w:r>
        <w:t xml:space="preserve">Olowo, J., et al. (2021). "Auditor Independence in Transition Economies," *African Journal of Accounting*, 14(3), pp. 78–95.</w:t>
      </w:r>
    </w:p>
    <w:p>
      <w:pPr>
        <w:numPr>
          <w:ilvl w:val="0"/>
          <w:numId w:val="1004"/>
        </w:numPr>
        <w:pStyle w:val="Compact"/>
      </w:pPr>
      <w:r>
        <w:t xml:space="preserve">Gupta, P. (2022). "Digital Transformation in African Auditing," *Journal of International Accounting Research*, 11(2), pp. 112–130.</w:t>
      </w:r>
    </w:p>
    <w:p>
      <w:pPr>
        <w:numPr>
          <w:ilvl w:val="0"/>
          <w:numId w:val="1004"/>
        </w:numPr>
        <w:pStyle w:val="Compact"/>
      </w:pPr>
      <w:r>
        <w:t xml:space="preserve">Central Bank of Sudan. (2023). *Annual Report on Financial Sector Oversight*.</w:t>
      </w:r>
    </w:p>
    <w:p>
      <w:pPr>
        <w:pStyle w:val="FirstParagraph"/>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Proficiency in Sudan Khartoum's Financial Ecosystem</dc:title>
  <dc:creator/>
  <dc:language>en</dc:language>
  <cp:keywords/>
  <dcterms:created xsi:type="dcterms:W3CDTF">2026-07-20T08:13:09Z</dcterms:created>
  <dcterms:modified xsi:type="dcterms:W3CDTF">2026-07-20T08:13:09Z</dcterms:modified>
</cp:coreProperties>
</file>

<file path=docProps/custom.xml><?xml version="1.0" encoding="utf-8"?>
<Properties xmlns="http://schemas.openxmlformats.org/officeDocument/2006/custom-properties" xmlns:vt="http://schemas.openxmlformats.org/officeDocument/2006/docPropsVTypes"/>
</file>