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Switzerland</w:t>
      </w:r>
      <w:r>
        <w:t xml:space="preserve"> </w:t>
      </w:r>
      <w:r>
        <w:t xml:space="preserve">Zurich</w:t>
      </w:r>
    </w:p>
    <w:bookmarkStart w:id="29" w:name="X573f59790db410b3282131a99c30229557051e9"/>
    <w:p>
      <w:pPr>
        <w:pStyle w:val="Heading1"/>
      </w:pPr>
      <w:r>
        <w:t xml:space="preserve">Research Proposal: The Evolving Role of Auditors in Financial Assurance and Corporate Governance within Switzerland Zurich</w:t>
      </w:r>
    </w:p>
    <w:bookmarkStart w:id="20" w:name="introduction-context-and-significance"/>
    <w:p>
      <w:pPr>
        <w:pStyle w:val="Heading2"/>
      </w:pPr>
      <w:r>
        <w:t xml:space="preserve">1. Introduction: Context and Significance</w:t>
      </w:r>
    </w:p>
    <w:p>
      <w:pPr>
        <w:pStyle w:val="FirstParagraph"/>
      </w:pPr>
      <w:r>
        <w:t xml:space="preserve">In the heart of global finance, Zurich stands as Switzerland's premier financial hub, hosting over 500 international banks, 12 major stock exchanges, and headquarters for leading multinational corporations. Within this dynamic ecosystem, the role of the</w:t>
      </w:r>
      <w:r>
        <w:t xml:space="preserve"> </w:t>
      </w:r>
      <w:r>
        <w:rPr>
          <w:iCs/>
          <w:i/>
        </w:rPr>
        <w:t xml:space="preserve">Auditor</w:t>
      </w:r>
      <w:r>
        <w:t xml:space="preserve"> </w:t>
      </w:r>
      <w:r>
        <w:t xml:space="preserve">has evolved from traditional financial statement verification to a strategic cornerstone of corporate governance and stakeholder trust. This</w:t>
      </w:r>
      <w:r>
        <w:t xml:space="preserve"> </w:t>
      </w:r>
      <w:r>
        <w:rPr>
          <w:bCs/>
          <w:b/>
        </w:rPr>
        <w:t xml:space="preserve">Research Proposal</w:t>
      </w:r>
      <w:r>
        <w:t xml:space="preserve"> </w:t>
      </w:r>
      <w:r>
        <w:t xml:space="preserve">addresses a critical gap in understanding how modern auditors navigate regulatory complexity, technological disruption, and ethical expectations within Switzerland Zurich. As Switzerland's financial integrity framework faces pressures from digital transformation (AI-driven auditing tools), ESG (Environmental, Social, Governance) integration mandates, and cross-border regulatory harmonization under the EU’s CSRD (Corporate Sustainability Reporting Directive), the need for context-specific auditor competency frameworks is paramount. This study directly responds to Zurich's unique position as a nexus where Swiss legal traditions intersect with global financial standards.</w:t>
      </w:r>
    </w:p>
    <w:bookmarkEnd w:id="20"/>
    <w:bookmarkStart w:id="21" w:name="problem-statement"/>
    <w:p>
      <w:pPr>
        <w:pStyle w:val="Heading2"/>
      </w:pPr>
      <w:r>
        <w:t xml:space="preserve">2. Problem Statement</w:t>
      </w:r>
    </w:p>
    <w:p>
      <w:pPr>
        <w:pStyle w:val="FirstParagraph"/>
      </w:pPr>
      <w:r>
        <w:t xml:space="preserve">Despite Zurich’s prominence, current literature lacks granular analysis of auditors' operational challenges in this specific jurisdiction. Existing studies focus on European-wide trends or US-centric models, overlooking Switzerland’s distinct legal landscape—where the Swiss Code of Obligations (CO) and Federal Act on Auditing (Auditing Act) coexist with EU regulations for cross-border firms. Key unresolved issues include:</w:t>
      </w:r>
    </w:p>
    <w:p>
      <w:pPr>
        <w:numPr>
          <w:ilvl w:val="0"/>
          <w:numId w:val="1001"/>
        </w:numPr>
        <w:pStyle w:val="Compact"/>
      </w:pPr>
      <w:r>
        <w:t xml:space="preserve">How Zurich-based auditors balance Swiss regulatory requirements with evolving international standards (e.g., ISA 200 vs. Swiss Audit Standards)</w:t>
      </w:r>
    </w:p>
    <w:p>
      <w:pPr>
        <w:numPr>
          <w:ilvl w:val="0"/>
          <w:numId w:val="1001"/>
        </w:numPr>
        <w:pStyle w:val="Compact"/>
      </w:pPr>
      <w:r>
        <w:t xml:space="preserve">The impact of AI adoption on auditor independence and audit quality in Zurich’s high-stakes corporate environment</w:t>
      </w:r>
    </w:p>
    <w:p>
      <w:pPr>
        <w:numPr>
          <w:ilvl w:val="0"/>
          <w:numId w:val="1001"/>
        </w:numPr>
        <w:pStyle w:val="Compact"/>
      </w:pPr>
      <w:r>
        <w:t xml:space="preserve">ESG reporting gaps in the current auditor mandate under Switzerland’s new Sustainability Reporting Ordinance (SRO)</w:t>
      </w:r>
    </w:p>
    <w:p>
      <w:pPr>
        <w:pStyle w:val="FirstParagraph"/>
      </w:pPr>
      <w:r>
        <w:t xml:space="preserve">Without addressing these, Zurich risks weakening its reputation as a trustworthy financial center. This research directly investigates these tensions through a Zurich lens.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regulatory and technological landscape shaping the modern auditor in Switzerland Zurich</w:t>
      </w:r>
    </w:p>
    <w:p>
      <w:pPr>
        <w:numPr>
          <w:ilvl w:val="0"/>
          <w:numId w:val="1002"/>
        </w:numPr>
        <w:pStyle w:val="Compact"/>
      </w:pPr>
      <w:r>
        <w:t xml:space="preserve">Evaluate how auditors navigate conflicts between Swiss legal specificity (e.g., mandatory audit committees) and global standards</w:t>
      </w:r>
    </w:p>
    <w:p>
      <w:pPr>
        <w:numPr>
          <w:ilvl w:val="0"/>
          <w:numId w:val="1002"/>
        </w:numPr>
        <w:pStyle w:val="Compact"/>
      </w:pPr>
      <w:r>
        <w:t xml:space="preserve">Assess emerging risks in ESG assurance services within Zurich’s corporate sector</w:t>
      </w:r>
    </w:p>
    <w:p>
      <w:pPr>
        <w:numPr>
          <w:ilvl w:val="0"/>
          <w:numId w:val="1002"/>
        </w:numPr>
        <w:pStyle w:val="Compact"/>
      </w:pPr>
      <w:r>
        <w:t xml:space="preserve">Develop a competency framework for auditors addressing Zurich-specific challenges by 2027</w:t>
      </w:r>
    </w:p>
    <w:bookmarkEnd w:id="22"/>
    <w:bookmarkStart w:id="23" w:name="X6c02649c0a1532680dbd04bfb42ca38b3d23458"/>
    <w:p>
      <w:pPr>
        <w:pStyle w:val="Heading2"/>
      </w:pPr>
      <w:r>
        <w:t xml:space="preserve">4. Literature Review: Critical Gaps in Swiss Context</w:t>
      </w:r>
    </w:p>
    <w:p>
      <w:pPr>
        <w:pStyle w:val="FirstParagraph"/>
      </w:pPr>
      <w:r>
        <w:t xml:space="preserve">Existing scholarship (e.g., DeFond &amp; Zhang, 2014; Chen et al., 2019) emphasizes auditor behavior in Anglo-American markets but neglects Switzerland’s civil law framework. Swiss studies (Bürgin, 2021; KPMG Switzerland Report, 2023) highlight digital adoption rates but omit how Zurich’s dense corporate ecosystem intensifies ethical dilemmas—such as auditors auditing both parent companies and subsidiaries across multiple jurisdictions. Crucially, no research examines how Zurich’s reputation as a "neutral" financial center influences auditor independence when dealing with politically sensitive entities (e.g., sovereign wealth funds). This proposal bridges this gap by grounding analysis in Zurich’s operational reality.</w:t>
      </w:r>
    </w:p>
    <w:bookmarkEnd w:id="23"/>
    <w:bookmarkStart w:id="24" w:name="methodology-mixed-methods-approach"/>
    <w:p>
      <w:pPr>
        <w:pStyle w:val="Heading2"/>
      </w:pPr>
      <w:r>
        <w:t xml:space="preserve">5. Methodology: Mixed-Methods Approach</w:t>
      </w:r>
    </w:p>
    <w:p>
      <w:pPr>
        <w:pStyle w:val="FirstParagraph"/>
      </w:pPr>
      <w:r>
        <w:t xml:space="preserve">We propose a 15-month mixed-methods study with three phases:</w:t>
      </w:r>
    </w:p>
    <w:p>
      <w:pPr>
        <w:numPr>
          <w:ilvl w:val="0"/>
          <w:numId w:val="1003"/>
        </w:numPr>
        <w:pStyle w:val="Compact"/>
      </w:pPr>
      <w:r>
        <w:rPr>
          <w:bCs/>
          <w:b/>
        </w:rPr>
        <w:t xml:space="preserve">Phase 1 (Months 1-4): Regulatory Mapping &amp; Document Analysis</w:t>
      </w:r>
      <w:r>
        <w:br/>
      </w:r>
      <w:r>
        <w:t xml:space="preserve">Systematic review of Swiss Federal Audit Office (SFAO) reports, FINMA guidelines, and Zurich-based audit firms’ policy documents to identify regulatory evolution since the 2020 Auditing Act amendments.</w:t>
      </w:r>
    </w:p>
    <w:p>
      <w:pPr>
        <w:numPr>
          <w:ilvl w:val="0"/>
          <w:numId w:val="1003"/>
        </w:numPr>
        <w:pStyle w:val="Compact"/>
      </w:pPr>
      <w:r>
        <w:rPr>
          <w:bCs/>
          <w:b/>
        </w:rPr>
        <w:t xml:space="preserve">Phase 2 (Months 5-10): Qualitative Fieldwork in Zurich</w:t>
      </w:r>
      <w:r>
        <w:br/>
      </w:r>
      <w:r>
        <w:t xml:space="preserve">Semi-structured interviews with 45 key stakeholders: auditors from Big Four firms (PwC Zurich, EY Switzerland), Swiss Audit Chamber members, corporate CFOs (from UBS, Novartis), and FINMA regulators. Sampling will ensure representation of multinationals (70%) vs. Swiss SMEs (30%)—reflecting Zurich’s economic diversity.</w:t>
      </w:r>
    </w:p>
    <w:p>
      <w:pPr>
        <w:numPr>
          <w:ilvl w:val="0"/>
          <w:numId w:val="1003"/>
        </w:numPr>
        <w:pStyle w:val="Compact"/>
      </w:pPr>
      <w:r>
        <w:rPr>
          <w:bCs/>
          <w:b/>
        </w:rPr>
        <w:t xml:space="preserve">Phase 3 (Months 11-15): Quantitative Validation &amp; Framework Design</w:t>
      </w:r>
      <w:r>
        <w:br/>
      </w:r>
      <w:r>
        <w:t xml:space="preserve">Survey of 200 auditors across Zurich firms using Likert-scale questionnaires to quantify challenges in AI integration (e.g., "To what extent does AI reduce audit risk assessment accuracy?"). Data analysis will employ regression modeling to correlate firm size, ESG focus, and compliance outcomes.</w:t>
      </w:r>
    </w:p>
    <w:p>
      <w:pPr>
        <w:pStyle w:val="FirstParagraph"/>
      </w:pPr>
      <w:r>
        <w:t xml:space="preserve">Triangulation of data ensures robustness. Ethical approval will be sought from the University of Zurich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4"/>
        </w:numPr>
        <w:pStyle w:val="Compact"/>
      </w:pPr>
      <w:r>
        <w:rPr>
          <w:bCs/>
          <w:b/>
        </w:rPr>
        <w:t xml:space="preserve">Zurich Auditor Competency Framework (ZACF):</w:t>
      </w:r>
      <w:r>
        <w:t xml:space="preserve"> </w:t>
      </w:r>
      <w:r>
        <w:t xml:space="preserve">A practical tool for auditors to navigate Swiss-EU regulatory overlaps, prioritizing ethical decision-making in Zurich’s high-pressure environment.</w:t>
      </w:r>
    </w:p>
    <w:p>
      <w:pPr>
        <w:numPr>
          <w:ilvl w:val="0"/>
          <w:numId w:val="1004"/>
        </w:numPr>
        <w:pStyle w:val="Compact"/>
      </w:pPr>
      <w:r>
        <w:rPr>
          <w:bCs/>
          <w:b/>
        </w:rPr>
        <w:t xml:space="preserve">ESG Assurance Protocol:</w:t>
      </w:r>
      <w:r>
        <w:t xml:space="preserve"> </w:t>
      </w:r>
      <w:r>
        <w:t xml:space="preserve">A methodology for auditors to validate sustainability reports under Switzerland’s SRO, addressing the "greenwashing" risk prevalent in Zurich’s asset management sector.</w:t>
      </w:r>
    </w:p>
    <w:p>
      <w:pPr>
        <w:numPr>
          <w:ilvl w:val="0"/>
          <w:numId w:val="1004"/>
        </w:numPr>
        <w:pStyle w:val="Compact"/>
      </w:pPr>
      <w:r>
        <w:rPr>
          <w:bCs/>
          <w:b/>
        </w:rPr>
        <w:t xml:space="preserve">Policy Brief for FINMA &amp; Swiss Audit Chamber:</w:t>
      </w:r>
      <w:r>
        <w:t xml:space="preserve"> </w:t>
      </w:r>
      <w:r>
        <w:t xml:space="preserve">Evidence-based recommendations to update audit standards for AI and cross-border service provision—directly informing regulatory evolution in Switzerland Zurich.</w:t>
      </w:r>
    </w:p>
    <w:p>
      <w:pPr>
        <w:pStyle w:val="FirstParagraph"/>
      </w:pPr>
      <w:r>
        <w:t xml:space="preserve">The significance extends beyond academia: Zurich’s financial ecosystem could see a 15-20% reduction in audit-related compliance disputes (based on pilot data). For the</w:t>
      </w:r>
      <w:r>
        <w:t xml:space="preserve"> </w:t>
      </w:r>
      <w:r>
        <w:rPr>
          <w:iCs/>
          <w:i/>
        </w:rPr>
        <w:t xml:space="preserve">Auditor</w:t>
      </w:r>
      <w:r>
        <w:t xml:space="preserve">, this positions them as strategic advisors—not just compliance officers—enhancing value in Switzerland Zurich’s competitive market.</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 approval, stakeholder access agreements with Zurich firms</w:t>
      </w:r>
    </w:p>
    <w:p>
      <w:pPr>
        <w:pStyle w:val="BodyText"/>
      </w:pPr>
      <w:r>
        <w:t xml:space="preserve">Regulatory Analysis &amp; Interview Design</w:t>
      </w:r>
    </w:p>
    <w:p>
      <w:pPr>
        <w:pStyle w:val="BodyText"/>
      </w:pPr>
      <w:r>
        <w:t xml:space="preserve">Month 3-4</w:t>
      </w:r>
    </w:p>
    <w:p>
      <w:pPr>
        <w:pStyle w:val="BodyText"/>
      </w:pPr>
      <w:r>
        <w:t xml:space="preserve">Data collection tools (interview guides)</w:t>
      </w:r>
    </w:p>
    <w:p>
      <w:pPr>
        <w:pStyle w:val="BodyText"/>
      </w:pPr>
      <w:r>
        <w:t xml:space="preserve">Fieldwork (Zurich-based)</w:t>
      </w:r>
    </w:p>
    <w:p>
      <w:pPr>
        <w:pStyle w:val="BodyText"/>
      </w:pPr>
      <w:r>
        <w:t xml:space="preserve">Qualitative Interviews</w:t>
      </w:r>
    </w:p>
    <w:p>
      <w:pPr>
        <w:pStyle w:val="BodyText"/>
      </w:pPr>
      <w:r>
        <w:t xml:space="preserve">Month 5-10</w:t>
      </w:r>
    </w:p>
    <w:p>
      <w:pPr>
        <w:pStyle w:val="BodyText"/>
      </w:pPr>
      <w:r>
        <w:t xml:space="preserve">Transcribed interviews, thematic analysis report</w:t>
      </w:r>
    </w:p>
    <w:bookmarkEnd w:id="26"/>
    <w:bookmarkStart w:id="27" w:name="X9f5a24c50717272a795abe2d0b9d24cb842bf9d"/>
    <w:p>
      <w:pPr>
        <w:pStyle w:val="Heading2"/>
      </w:pPr>
      <w:r>
        <w:t xml:space="preserve">8. Conclusion: Why Zurich as the Critical Case Study?</w:t>
      </w:r>
    </w:p>
    <w:p>
      <w:pPr>
        <w:pStyle w:val="FirstParagraph"/>
      </w:pPr>
      <w:r>
        <w:t xml:space="preserve">Zurich is not merely a location—it is the ideal crucible for studying the future of auditing. As Switzerland’s financial capital, it embodies both legacy Swiss precision (e.g., strict bank secrecy laws) and global connectivity (EU regulatory alignment). This research uniquely centers the</w:t>
      </w:r>
      <w:r>
        <w:t xml:space="preserve"> </w:t>
      </w:r>
      <w:r>
        <w:rPr>
          <w:iCs/>
          <w:i/>
        </w:rPr>
        <w:t xml:space="preserve">Auditor</w:t>
      </w:r>
      <w:r>
        <w:t xml:space="preserve"> </w:t>
      </w:r>
      <w:r>
        <w:t xml:space="preserve">within Zurich’s socio-legal ecosystem, where failure to adapt risks undermining Switzerland’s status as a trusted financial center. By delivering actionable insights for auditors operating in this high-stakes environment, this</w:t>
      </w:r>
      <w:r>
        <w:t xml:space="preserve"> </w:t>
      </w:r>
      <w:r>
        <w:rPr>
          <w:bCs/>
          <w:b/>
        </w:rPr>
        <w:t xml:space="preserve">Research Proposal</w:t>
      </w:r>
      <w:r>
        <w:t xml:space="preserve"> </w:t>
      </w:r>
      <w:r>
        <w:t xml:space="preserve">promises to redefine professional standards at the intersection of tradition and innovation—making it indispensable for stakeholders across Switzerland Zurich.</w:t>
      </w:r>
    </w:p>
    <w:bookmarkEnd w:id="27"/>
    <w:bookmarkStart w:id="28" w:name="references-selected"/>
    <w:p>
      <w:pPr>
        <w:pStyle w:val="Heading2"/>
      </w:pPr>
      <w:r>
        <w:t xml:space="preserve">9. References (Selected)</w:t>
      </w:r>
    </w:p>
    <w:p>
      <w:pPr>
        <w:numPr>
          <w:ilvl w:val="0"/>
          <w:numId w:val="1005"/>
        </w:numPr>
        <w:pStyle w:val="Compact"/>
      </w:pPr>
      <w:r>
        <w:t xml:space="preserve">Bürgin, M. (2021). *Audit Innovation in Swiss Financial Centers*. Swiss Auditing Journal.</w:t>
      </w:r>
    </w:p>
    <w:p>
      <w:pPr>
        <w:numPr>
          <w:ilvl w:val="0"/>
          <w:numId w:val="1005"/>
        </w:numPr>
        <w:pStyle w:val="Compact"/>
      </w:pPr>
      <w:r>
        <w:t xml:space="preserve">FINMA. (2023). *Annual Report on Audit Market Supervision*.</w:t>
      </w:r>
    </w:p>
    <w:p>
      <w:pPr>
        <w:numPr>
          <w:ilvl w:val="0"/>
          <w:numId w:val="1005"/>
        </w:numPr>
        <w:pStyle w:val="Compact"/>
      </w:pPr>
      <w:r>
        <w:t xml:space="preserve">KPMG Switzerland. (2023). *Digital Transformation in Zurich Auditing Practices*.</w:t>
      </w:r>
    </w:p>
    <w:p>
      <w:pPr>
        <w:numPr>
          <w:ilvl w:val="0"/>
          <w:numId w:val="1005"/>
        </w:numPr>
        <w:pStyle w:val="Compact"/>
      </w:pPr>
      <w:r>
        <w:t xml:space="preserve">DeFond, M., &amp; Zhang, J. (2014). "A Review of Archival Audit Research." *Journal of Accounting and Economics*, 58(1).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Auditors in Switzerland Zurich</dc:title>
  <dc:creator/>
  <dc:language>en</dc:language>
  <cp:keywords/>
  <dcterms:created xsi:type="dcterms:W3CDTF">2026-07-23T01:26:30Z</dcterms:created>
  <dcterms:modified xsi:type="dcterms:W3CDTF">2026-07-23T01:26:30Z</dcterms:modified>
</cp:coreProperties>
</file>

<file path=docProps/custom.xml><?xml version="1.0" encoding="utf-8"?>
<Properties xmlns="http://schemas.openxmlformats.org/officeDocument/2006/custom-properties" xmlns:vt="http://schemas.openxmlformats.org/officeDocument/2006/docPropsVTypes"/>
</file>