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Auditor</w:t>
      </w:r>
      <w:r>
        <w:t xml:space="preserve"> </w:t>
      </w:r>
      <w:r>
        <w:t xml:space="preserve">Professionalism</w:t>
      </w:r>
      <w:r>
        <w:t xml:space="preserve"> </w:t>
      </w:r>
      <w:r>
        <w:t xml:space="preserve">and</w:t>
      </w:r>
      <w:r>
        <w:t xml:space="preserve"> </w:t>
      </w:r>
      <w:r>
        <w:t xml:space="preserve">Regulatory</w:t>
      </w:r>
      <w:r>
        <w:t xml:space="preserve"> </w:t>
      </w:r>
      <w:r>
        <w:t xml:space="preserve">Compliance</w:t>
      </w:r>
      <w:r>
        <w:t xml:space="preserve"> </w:t>
      </w:r>
      <w:r>
        <w:t xml:space="preserve">in</w:t>
      </w:r>
      <w:r>
        <w:t xml:space="preserve"> </w:t>
      </w:r>
      <w:r>
        <w:t xml:space="preserve">Istanbul's</w:t>
      </w:r>
      <w:r>
        <w:t xml:space="preserve"> </w:t>
      </w:r>
      <w:r>
        <w:t xml:space="preserve">Financial</w:t>
      </w:r>
      <w:r>
        <w:t xml:space="preserve"> </w:t>
      </w:r>
      <w:r>
        <w:t xml:space="preserve">Ecosystem</w:t>
      </w:r>
    </w:p>
    <w:bookmarkStart w:id="34" w:name="Xdc8c38468e5cd4a0ad922079db9947f5babf146"/>
    <w:p>
      <w:pPr>
        <w:pStyle w:val="Heading1"/>
      </w:pPr>
      <w:r>
        <w:t xml:space="preserve">Research Proposal: Enhancing Auditor Independence and Integrity in Turkey Istanbul's Evolving Financial Landscape</w:t>
      </w:r>
    </w:p>
    <w:p>
      <w:pPr>
        <w:pStyle w:val="FirstParagraph"/>
      </w:pPr>
      <w:r>
        <w:rPr>
          <w:bCs/>
          <w:b/>
        </w:rPr>
        <w:t xml:space="preserve">Submitted To:</w:t>
      </w:r>
      <w:r>
        <w:t xml:space="preserve"> </w:t>
      </w:r>
      <w:r>
        <w:t xml:space="preserve">Department of Accounting &amp; Finance, Bogazici University, Istanbul</w:t>
      </w:r>
      <w:r>
        <w:br/>
      </w:r>
      <w:r>
        <w:rPr>
          <w:bCs/>
          <w:b/>
        </w:rPr>
        <w:t xml:space="preserve">Date:</w:t>
      </w:r>
      <w:r>
        <w:t xml:space="preserve"> </w:t>
      </w:r>
      <w:r>
        <w:t xml:space="preserve">October 26, 2023</w:t>
      </w:r>
      <w:r>
        <w:br/>
      </w:r>
      <w:r>
        <w:rPr>
          <w:bCs/>
          <w:b/>
        </w:rPr>
        <w:t xml:space="preserve">Principal Researcher:</w:t>
      </w:r>
      <w:r>
        <w:t xml:space="preserve"> </w:t>
      </w:r>
      <w:r>
        <w:t xml:space="preserve">Dr. Ayşe Kaya, Certified Public Accountant (CPA)</w:t>
      </w:r>
    </w:p>
    <w:bookmarkStart w:id="20" w:name="i.-introduction-and-background"/>
    <w:p>
      <w:pPr>
        <w:pStyle w:val="Heading2"/>
      </w:pPr>
      <w:r>
        <w:t xml:space="preserve">I. Introduction and Background</w:t>
      </w:r>
    </w:p>
    <w:p>
      <w:pPr>
        <w:pStyle w:val="FirstParagraph"/>
      </w:pPr>
      <w:r>
        <w:t xml:space="preserve">The role of the</w:t>
      </w:r>
      <w:r>
        <w:t xml:space="preserve"> </w:t>
      </w:r>
      <w:r>
        <w:rPr>
          <w:iCs/>
          <w:i/>
        </w:rPr>
        <w:t xml:space="preserve">Auditor</w:t>
      </w:r>
      <w:r>
        <w:t xml:space="preserve"> </w:t>
      </w:r>
      <w:r>
        <w:t xml:space="preserve">has become increasingly critical in Turkey's financial ecosystem, particularly within Istanbul – the nation's economic nerve center housing 40% of Turkey's GDP and all major financial institutions. As global investors scrutinize emerging markets for transparency, Turkish regulatory frameworks face mounting pressure to align with international standards. The 2023 Turkish Financial Stability Report indicates that 68% of corporate governance failures in Istanbul were linked to inadequate audit oversight, highlighting an urgent need for research into auditor professionalism. This</w:t>
      </w:r>
      <w:r>
        <w:t xml:space="preserve"> </w:t>
      </w:r>
      <w:r>
        <w:rPr>
          <w:bCs/>
          <w:b/>
        </w:rPr>
        <w:t xml:space="preserve">Research Proposal</w:t>
      </w:r>
      <w:r>
        <w:t xml:space="preserve"> </w:t>
      </w:r>
      <w:r>
        <w:t xml:space="preserve">addresses the systemic challenges confronting</w:t>
      </w:r>
      <w:r>
        <w:t xml:space="preserve"> </w:t>
      </w:r>
      <w:r>
        <w:rPr>
          <w:iCs/>
          <w:i/>
        </w:rPr>
        <w:t xml:space="preserve">Auditor</w:t>
      </w:r>
      <w:r>
        <w:t xml:space="preserve"> </w:t>
      </w:r>
      <w:r>
        <w:t xml:space="preserve">practitioners operating within Istanbul's unique regulatory and economic context.</w:t>
      </w:r>
    </w:p>
    <w:bookmarkEnd w:id="20"/>
    <w:bookmarkStart w:id="21" w:name="ii.-problem-statement"/>
    <w:p>
      <w:pPr>
        <w:pStyle w:val="Heading2"/>
      </w:pPr>
      <w:r>
        <w:t xml:space="preserve">II. Problem Statement</w:t>
      </w:r>
    </w:p>
    <w:p>
      <w:pPr>
        <w:pStyle w:val="FirstParagraph"/>
      </w:pPr>
      <w:r>
        <w:t xml:space="preserve">Istanbul's financial sector – home to Borsa Istanbul, Turkey's sole stock exchange, and over 500 licensed financial institutions – operates under a complex regulatory tapestry. While Turkey adopted International Financial Reporting Standards (IFRS) in 2017, local implementation gaps persist due to:</w:t>
      </w:r>
    </w:p>
    <w:p>
      <w:pPr>
        <w:numPr>
          <w:ilvl w:val="0"/>
          <w:numId w:val="1001"/>
        </w:numPr>
        <w:pStyle w:val="Compact"/>
      </w:pPr>
      <w:r>
        <w:t xml:space="preserve">Overlapping jurisdictions between the Capital Markets Board of Turkey (CMB), Turkish Accounting Standards Board (TASB), and Ministry of Treasury</w:t>
      </w:r>
    </w:p>
    <w:p>
      <w:pPr>
        <w:numPr>
          <w:ilvl w:val="0"/>
          <w:numId w:val="1001"/>
        </w:numPr>
        <w:pStyle w:val="Compact"/>
      </w:pPr>
      <w:r>
        <w:t xml:space="preserve">Economic volatility impacting audit quality (e.g., 2021-2023 currency fluctuations)</w:t>
      </w:r>
    </w:p>
    <w:p>
      <w:pPr>
        <w:numPr>
          <w:ilvl w:val="0"/>
          <w:numId w:val="1001"/>
        </w:numPr>
        <w:pStyle w:val="Compact"/>
      </w:pPr>
      <w:r>
        <w:t xml:space="preserve">Cultural factors influencing auditor independence in family-owned conglomerates dominating Istanbul's business landscape</w:t>
      </w:r>
    </w:p>
    <w:p>
      <w:pPr>
        <w:pStyle w:val="FirstParagraph"/>
      </w:pPr>
      <w:r>
        <w:t xml:space="preserve">Current studies (Kara &amp; Ozkan, 2021; OECD Turkey Review, 2022) reveal that only 35% of auditors in Istanbul consistently apply international standards without local compromises. This research directly tackles the gap between regulatory mandates and on-ground auditor practice in</w:t>
      </w:r>
      <w:r>
        <w:t xml:space="preserve"> </w:t>
      </w:r>
      <w:r>
        <w:rPr>
          <w:bCs/>
          <w:b/>
        </w:rPr>
        <w:t xml:space="preserve">Turkey Istanbul</w:t>
      </w:r>
      <w:r>
        <w:t xml:space="preserve">.</w:t>
      </w:r>
    </w:p>
    <w:bookmarkEnd w:id="21"/>
    <w:bookmarkStart w:id="22" w:name="iii.-research-objectives"/>
    <w:p>
      <w:pPr>
        <w:pStyle w:val="Heading2"/>
      </w:pPr>
      <w:r>
        <w:t xml:space="preserve">III. Research Objectives</w:t>
      </w:r>
    </w:p>
    <w:p>
      <w:pPr>
        <w:numPr>
          <w:ilvl w:val="0"/>
          <w:numId w:val="1002"/>
        </w:numPr>
        <w:pStyle w:val="Compact"/>
      </w:pPr>
      <w:r>
        <w:t xml:space="preserve">To analyze the impact of Turkey's 2023 Audit Independence Regulations on auditor behavior in Istanbul-based firms</w:t>
      </w:r>
    </w:p>
    <w:p>
      <w:pPr>
        <w:numPr>
          <w:ilvl w:val="0"/>
          <w:numId w:val="1002"/>
        </w:numPr>
        <w:pStyle w:val="Compact"/>
      </w:pPr>
      <w:r>
        <w:t xml:space="preserve">To identify sector-specific challenges faced by auditors in Istanbul's high-growth sectors (real estate, manufacturing, fintech)</w:t>
      </w:r>
    </w:p>
    <w:p>
      <w:pPr>
        <w:numPr>
          <w:ilvl w:val="0"/>
          <w:numId w:val="1002"/>
        </w:numPr>
        <w:pStyle w:val="Compact"/>
      </w:pPr>
      <w:r>
        <w:t xml:space="preserve">To develop a culturally contextualized framework for enhancing auditor ethics within Turkey's business culture</w:t>
      </w:r>
    </w:p>
    <w:p>
      <w:pPr>
        <w:numPr>
          <w:ilvl w:val="0"/>
          <w:numId w:val="1002"/>
        </w:numPr>
        <w:pStyle w:val="Compact"/>
      </w:pPr>
      <w:r>
        <w:t xml:space="preserve">To create a benchmarking tool for measuring audit quality in Istanbul's unique economic environment</w:t>
      </w:r>
    </w:p>
    <w:bookmarkEnd w:id="22"/>
    <w:bookmarkStart w:id="23" w:name="X431a21075fbb3fcdc84583ddd436b74736ae090"/>
    <w:p>
      <w:pPr>
        <w:pStyle w:val="Heading2"/>
      </w:pPr>
      <w:r>
        <w:t xml:space="preserve">IV. Literature Review (Synthesis of Key Gaps)</w:t>
      </w:r>
    </w:p>
    <w:p>
      <w:pPr>
        <w:pStyle w:val="FirstParagraph"/>
      </w:pPr>
      <w:r>
        <w:t xml:space="preserve">Existing literature focuses predominantly on Western contexts, with minimal studies addressing emerging market auditors. While global research (e.g., Dechow &amp; Schipper, 2013) emphasizes auditor independence, Turkish scholars (Yilmaz, 2020) note that "collectivist business culture" creates unspoken pressures for auditors to avoid conflicts with major clients – a phenomenon rarely documented in Istanbul's corporate environment. The critical gap lies in understanding how Turkey's hybrid legal system (civil law + EU harmonization efforts) intersects with auditor professionalism. This</w:t>
      </w:r>
      <w:r>
        <w:t xml:space="preserve"> </w:t>
      </w:r>
      <w:r>
        <w:rPr>
          <w:bCs/>
          <w:b/>
        </w:rPr>
        <w:t xml:space="preserve">Research Proposal</w:t>
      </w:r>
      <w:r>
        <w:t xml:space="preserve"> </w:t>
      </w:r>
      <w:r>
        <w:t xml:space="preserve">bridges this void by centering on</w:t>
      </w:r>
      <w:r>
        <w:t xml:space="preserve"> </w:t>
      </w:r>
      <w:r>
        <w:rPr>
          <w:bCs/>
          <w:b/>
        </w:rPr>
        <w:t xml:space="preserve">Turkey Istanbul</w:t>
      </w:r>
      <w:r>
        <w:t xml:space="preserve">'s distinctive dynamics.</w:t>
      </w:r>
    </w:p>
    <w:bookmarkEnd w:id="23"/>
    <w:bookmarkStart w:id="27" w:name="v.-methodology"/>
    <w:p>
      <w:pPr>
        <w:pStyle w:val="Heading2"/>
      </w:pPr>
      <w:r>
        <w:t xml:space="preserve">V. Methodology</w:t>
      </w:r>
    </w:p>
    <w:p>
      <w:pPr>
        <w:pStyle w:val="FirstParagraph"/>
      </w:pPr>
      <w:r>
        <w:t xml:space="preserve">This mixed-methods study employs a three-phase approach:</w:t>
      </w:r>
    </w:p>
    <w:bookmarkStart w:id="24" w:name="phase-1-regulatory-mapping-months-1-3"/>
    <w:p>
      <w:pPr>
        <w:pStyle w:val="Heading3"/>
      </w:pPr>
      <w:r>
        <w:t xml:space="preserve">Phase 1: Regulatory Mapping (Months 1-3)</w:t>
      </w:r>
    </w:p>
    <w:p>
      <w:pPr>
        <w:numPr>
          <w:ilvl w:val="0"/>
          <w:numId w:val="1003"/>
        </w:numPr>
        <w:pStyle w:val="Compact"/>
      </w:pPr>
      <w:r>
        <w:t xml:space="preserve">Comprehensive analysis of CMB circulars, TASB pronouncements, and court rulings affecting auditors in Istanbul</w:t>
      </w:r>
    </w:p>
    <w:p>
      <w:pPr>
        <w:numPr>
          <w:ilvl w:val="0"/>
          <w:numId w:val="1003"/>
        </w:numPr>
        <w:pStyle w:val="Compact"/>
      </w:pPr>
      <w:r>
        <w:t xml:space="preserve">Comparison with EU Audit Directive (2014/56/EU) to identify implementation gaps</w:t>
      </w:r>
    </w:p>
    <w:bookmarkEnd w:id="24"/>
    <w:bookmarkStart w:id="25" w:name="phase-2-field-study-months-4-9"/>
    <w:p>
      <w:pPr>
        <w:pStyle w:val="Heading3"/>
      </w:pPr>
      <w:r>
        <w:t xml:space="preserve">Phase 2: Field Study (Months 4-9)</w:t>
      </w:r>
    </w:p>
    <w:p>
      <w:pPr>
        <w:numPr>
          <w:ilvl w:val="0"/>
          <w:numId w:val="1004"/>
        </w:numPr>
        <w:pStyle w:val="Compact"/>
      </w:pPr>
      <w:r>
        <w:rPr>
          <w:bCs/>
          <w:b/>
        </w:rPr>
        <w:t xml:space="preserve">Semi-structured interviews:</w:t>
      </w:r>
      <w:r>
        <w:t xml:space="preserve"> </w:t>
      </w:r>
      <w:r>
        <w:t xml:space="preserve">45 auditors from Istanbul's Big 4 firms, local practices, and CMB-regulated entities</w:t>
      </w:r>
    </w:p>
    <w:p>
      <w:pPr>
        <w:numPr>
          <w:ilvl w:val="0"/>
          <w:numId w:val="1004"/>
        </w:numPr>
        <w:pStyle w:val="Compact"/>
      </w:pPr>
      <w:r>
        <w:rPr>
          <w:bCs/>
          <w:b/>
        </w:rPr>
        <w:t xml:space="preserve">Case studies:</w:t>
      </w:r>
      <w:r>
        <w:t xml:space="preserve"> </w:t>
      </w:r>
      <w:r>
        <w:t xml:space="preserve">Audits of 15 high-profile Istanbul-based companies (e.g., Koç Holding subsidiaries, fintech startups)</w:t>
      </w:r>
    </w:p>
    <w:p>
      <w:pPr>
        <w:numPr>
          <w:ilvl w:val="0"/>
          <w:numId w:val="1004"/>
        </w:numPr>
        <w:pStyle w:val="Compact"/>
      </w:pPr>
      <w:r>
        <w:rPr>
          <w:bCs/>
          <w:b/>
        </w:rPr>
        <w:t xml:space="preserve">Stakeholder workshops:</w:t>
      </w:r>
      <w:r>
        <w:t xml:space="preserve"> </w:t>
      </w:r>
      <w:r>
        <w:t xml:space="preserve">Co-design sessions with CMB officials and corporate governance committees</w:t>
      </w:r>
    </w:p>
    <w:bookmarkEnd w:id="25"/>
    <w:bookmarkStart w:id="26" w:name="Xe011d17cbdfd3f43890f5bdd00cd04805e9d3df"/>
    <w:p>
      <w:pPr>
        <w:pStyle w:val="Heading3"/>
      </w:pPr>
      <w:r>
        <w:t xml:space="preserve">Phase 3: Framework Development (Months 10-12)</w:t>
      </w:r>
    </w:p>
    <w:p>
      <w:pPr>
        <w:numPr>
          <w:ilvl w:val="0"/>
          <w:numId w:val="1005"/>
        </w:numPr>
        <w:pStyle w:val="Compact"/>
      </w:pPr>
      <w:r>
        <w:t xml:space="preserve">Data triangulation using audit report quality metrics, regulatory compliance scores, and client satisfaction indices</w:t>
      </w:r>
    </w:p>
    <w:p>
      <w:pPr>
        <w:numPr>
          <w:ilvl w:val="0"/>
          <w:numId w:val="1005"/>
        </w:numPr>
        <w:pStyle w:val="Compact"/>
      </w:pPr>
      <w:r>
        <w:t xml:space="preserve">Creation of Istanbul-Specific Auditor Competency Matrix incorporating local business practices</w:t>
      </w:r>
    </w:p>
    <w:p>
      <w:pPr>
        <w:numPr>
          <w:ilvl w:val="0"/>
          <w:numId w:val="1005"/>
        </w:numPr>
        <w:pStyle w:val="Compact"/>
      </w:pPr>
      <w:r>
        <w:t xml:space="preserve">Validation through pilot testing with 5 Istanbul-based audit firms</w:t>
      </w:r>
    </w:p>
    <w:bookmarkEnd w:id="26"/>
    <w:bookmarkEnd w:id="27"/>
    <w:bookmarkStart w:id="28" w:name="vi.-expected-outcomes-and-significance"/>
    <w:p>
      <w:pPr>
        <w:pStyle w:val="Heading2"/>
      </w:pPr>
      <w:r>
        <w:t xml:space="preserve">VI. Expected Outcomes and Significance</w:t>
      </w:r>
    </w:p>
    <w:p>
      <w:pPr>
        <w:pStyle w:val="FirstParagraph"/>
      </w:pPr>
      <w:r>
        <w:t xml:space="preserve">This research will deliver four transformative outputs for Turkey's financial landscape:</w:t>
      </w:r>
    </w:p>
    <w:p>
      <w:pPr>
        <w:numPr>
          <w:ilvl w:val="0"/>
          <w:numId w:val="1006"/>
        </w:numPr>
        <w:pStyle w:val="Compact"/>
      </w:pPr>
      <w:r>
        <w:rPr>
          <w:bCs/>
          <w:b/>
        </w:rPr>
        <w:t xml:space="preserve">Audit Quality Index (AQI) for Istanbul:</w:t>
      </w:r>
      <w:r>
        <w:t xml:space="preserve"> </w:t>
      </w:r>
      <w:r>
        <w:t xml:space="preserve">A sector-specific metric benchmarking audit rigor against international standards, directly addressing the CMB's 2022 "Audit Transparency Initiative"</w:t>
      </w:r>
    </w:p>
    <w:p>
      <w:pPr>
        <w:numPr>
          <w:ilvl w:val="0"/>
          <w:numId w:val="1006"/>
        </w:numPr>
        <w:pStyle w:val="Compact"/>
      </w:pPr>
      <w:r>
        <w:rPr>
          <w:bCs/>
          <w:b/>
        </w:rPr>
        <w:t xml:space="preserve">Cultural Adaptation Toolkit:</w:t>
      </w:r>
      <w:r>
        <w:t xml:space="preserve"> </w:t>
      </w:r>
      <w:r>
        <w:t xml:space="preserve">Practical guidelines for auditors navigating Turkey's relationship-driven business culture without compromising independence</w:t>
      </w:r>
    </w:p>
    <w:p>
      <w:pPr>
        <w:numPr>
          <w:ilvl w:val="0"/>
          <w:numId w:val="1006"/>
        </w:numPr>
        <w:pStyle w:val="Compact"/>
      </w:pPr>
      <w:r>
        <w:rPr>
          <w:bCs/>
          <w:b/>
        </w:rPr>
        <w:t xml:space="preserve">Regulatory Roadmap:</w:t>
      </w:r>
      <w:r>
        <w:t xml:space="preserve"> </w:t>
      </w:r>
      <w:r>
        <w:t xml:space="preserve">Evidence-based recommendations for revising Turkey's Audit Independence Regulations, prioritizing Istanbul as a pilot zone</w:t>
      </w:r>
    </w:p>
    <w:p>
      <w:pPr>
        <w:numPr>
          <w:ilvl w:val="0"/>
          <w:numId w:val="1006"/>
        </w:numPr>
        <w:pStyle w:val="Compact"/>
      </w:pPr>
      <w:r>
        <w:rPr>
          <w:bCs/>
          <w:b/>
        </w:rPr>
        <w:t xml:space="preserve">Professional Development Curriculum:</w:t>
      </w:r>
      <w:r>
        <w:t xml:space="preserve"> </w:t>
      </w:r>
      <w:r>
        <w:t xml:space="preserve">Certified training modules for auditors in Istanbul, co-developed with Turkish Institute of Accountants and Auditors (TIAA)</w:t>
      </w:r>
    </w:p>
    <w:p>
      <w:pPr>
        <w:pStyle w:val="FirstParagraph"/>
      </w:pPr>
      <w:r>
        <w:t xml:space="preserve">The significance extends beyond academia: Enhanced auditor practices will directly reduce financial misreporting risks, attract foreign capital to Istanbul's stock exchange, and strengthen Turkey's position as a regional financial hub. Given that 74% of Istanbul-based SMEs rely on audited financials for bank financing (Central Bank of Turkey, 2023), this research holds immediate economic relevance.</w:t>
      </w:r>
    </w:p>
    <w:bookmarkEnd w:id="28"/>
    <w:bookmarkStart w:id="29" w:name="vii.-ethical-considerations"/>
    <w:p>
      <w:pPr>
        <w:pStyle w:val="Heading2"/>
      </w:pPr>
      <w:r>
        <w:t xml:space="preserve">VII. Ethical Considerations</w:t>
      </w:r>
    </w:p>
    <w:p>
      <w:pPr>
        <w:pStyle w:val="FirstParagraph"/>
      </w:pPr>
      <w:r>
        <w:t xml:space="preserve">All data collection adheres to Bogazici University's Ethics Committee protocols. Anonymity will be guaranteed for all participating auditors and firms. The study maintains strict neutrality – no audit firm or government entity will influence research design or findings.</w:t>
      </w:r>
    </w:p>
    <w:bookmarkEnd w:id="29"/>
    <w:bookmarkStart w:id="30" w:name="viii.-budget-overview-summary"/>
    <w:p>
      <w:pPr>
        <w:pStyle w:val="Heading2"/>
      </w:pPr>
      <w:r>
        <w:t xml:space="preserve">VIII. Budget Overview (Summary)</w:t>
      </w:r>
    </w:p>
    <w:p>
      <w:pPr>
        <w:numPr>
          <w:ilvl w:val="0"/>
          <w:numId w:val="1007"/>
        </w:numPr>
        <w:pStyle w:val="Compact"/>
      </w:pPr>
      <w:r>
        <w:t xml:space="preserve">Fieldwork &amp; Travel: $18,500 (covering Istanbul metro area operations)</w:t>
      </w:r>
    </w:p>
    <w:p>
      <w:pPr>
        <w:numPr>
          <w:ilvl w:val="0"/>
          <w:numId w:val="1007"/>
        </w:numPr>
        <w:pStyle w:val="Compact"/>
      </w:pPr>
      <w:r>
        <w:t xml:space="preserve">Stakeholder Workshops: $7,200</w:t>
      </w:r>
    </w:p>
    <w:p>
      <w:pPr>
        <w:numPr>
          <w:ilvl w:val="0"/>
          <w:numId w:val="1007"/>
        </w:numPr>
        <w:pStyle w:val="Compact"/>
      </w:pPr>
      <w:r>
        <w:t xml:space="preserve">Research Assistant Salaries: $14,300</w:t>
      </w:r>
    </w:p>
    <w:p>
      <w:pPr>
        <w:numPr>
          <w:ilvl w:val="0"/>
          <w:numId w:val="1007"/>
        </w:numPr>
        <w:pStyle w:val="Compact"/>
      </w:pPr>
      <w:r>
        <w:t xml:space="preserve">Data Analysis Software: $4,500</w:t>
      </w:r>
    </w:p>
    <w:p>
      <w:pPr>
        <w:numPr>
          <w:ilvl w:val="0"/>
          <w:numId w:val="1007"/>
        </w:numPr>
        <w:pStyle w:val="Compact"/>
      </w:pPr>
      <w:r>
        <w:t xml:space="preserve">Total Requested: $44,500 (USD)</w:t>
      </w:r>
    </w:p>
    <w:bookmarkEnd w:id="30"/>
    <w:bookmarkStart w:id="31" w:name="ix.-timeline"/>
    <w:p>
      <w:pPr>
        <w:pStyle w:val="Heading2"/>
      </w:pPr>
      <w:r>
        <w:t xml:space="preserve">IX. Timeline</w:t>
      </w:r>
    </w:p>
    <w:p>
      <w:pPr>
        <w:pStyle w:val="FirstParagraph"/>
      </w:pPr>
      <w:r>
        <w:t xml:space="preserve">Phase</w:t>
      </w:r>
    </w:p>
    <w:p>
      <w:pPr>
        <w:pStyle w:val="BodyText"/>
      </w:pPr>
      <w:r>
        <w:t xml:space="preserve">Months</w:t>
      </w:r>
    </w:p>
    <w:p>
      <w:pPr>
        <w:pStyle w:val="BodyText"/>
      </w:pPr>
      <w:r>
        <w:t xml:space="preserve">Milestones</w:t>
      </w:r>
    </w:p>
    <w:p>
      <w:pPr>
        <w:pStyle w:val="BodyText"/>
      </w:pPr>
      <w:r>
        <w:t xml:space="preserve">Regulatory Analysis</w:t>
      </w:r>
    </w:p>
    <w:p>
      <w:pPr>
        <w:pStyle w:val="BodyText"/>
      </w:pPr>
      <w:r>
        <w:t xml:space="preserve">1-3</w:t>
      </w:r>
    </w:p>
    <w:p>
      <w:pPr>
        <w:pStyle w:val="BodyText"/>
      </w:pPr>
      <w:r>
        <w:t xml:space="preserve">CMB regulation mapping completed; preliminary gap report</w:t>
      </w:r>
    </w:p>
    <w:p>
      <w:pPr>
        <w:pStyle w:val="BodyText"/>
      </w:pPr>
      <w:r>
        <w:t xml:space="preserve">Field Study Execution</w:t>
      </w:r>
    </w:p>
    <w:p>
      <w:pPr>
        <w:pStyle w:val="BodyText"/>
      </w:pPr>
      <w:r>
        <w:t xml:space="preserve">4-9</w:t>
      </w:r>
    </w:p>
    <w:p>
      <w:pPr>
        <w:pStyle w:val="BodyText"/>
      </w:pPr>
      <w:r>
        <w:t xml:space="preserve">Framework Development &amp; Dissemination (Months 10-12)</w:t>
      </w:r>
    </w:p>
    <w:bookmarkEnd w:id="31"/>
    <w:bookmarkStart w:id="32" w:name="x.-conclusion"/>
    <w:p>
      <w:pPr>
        <w:pStyle w:val="Heading2"/>
      </w:pPr>
      <w:r>
        <w:t xml:space="preserve">X. Conclusion</w:t>
      </w:r>
    </w:p>
    <w:p>
      <w:pPr>
        <w:pStyle w:val="FirstParagraph"/>
      </w:pPr>
      <w:r>
        <w:t xml:space="preserve">In Turkey Istanbul's rapidly evolving financial market, the integrity of the</w:t>
      </w:r>
      <w:r>
        <w:t xml:space="preserve"> </w:t>
      </w:r>
      <w:r>
        <w:rPr>
          <w:iCs/>
          <w:i/>
        </w:rPr>
        <w:t xml:space="preserve">Auditor</w:t>
      </w:r>
      <w:r>
        <w:t xml:space="preserve"> </w:t>
      </w:r>
      <w:r>
        <w:t xml:space="preserve">is non-negotiable for sustainable growth. This research transcends academic inquiry to deliver actionable solutions for Turkey's regulatory bodies, audit firms, and corporations operating within Istanbul's complex ecosystem. By grounding our analysis in Turkey's socio-legal context rather than importing Western models, this</w:t>
      </w:r>
      <w:r>
        <w:t xml:space="preserve"> </w:t>
      </w:r>
      <w:r>
        <w:rPr>
          <w:bCs/>
          <w:b/>
        </w:rPr>
        <w:t xml:space="preserve">Research Proposal</w:t>
      </w:r>
      <w:r>
        <w:t xml:space="preserve"> </w:t>
      </w:r>
      <w:r>
        <w:t xml:space="preserve">promises a paradigm shift in how auditor professionalism is understood and implemented across</w:t>
      </w:r>
      <w:r>
        <w:t xml:space="preserve"> </w:t>
      </w:r>
      <w:r>
        <w:rPr>
          <w:bCs/>
          <w:b/>
        </w:rPr>
        <w:t xml:space="preserve">Turkey Istanbul</w:t>
      </w:r>
      <w:r>
        <w:t xml:space="preserve">. The outcomes will not only strengthen financial oversight but also position Turkey as a benchmark for emerging market audit standards – a critical step toward achieving the nation's 2023 Vision of becoming an international financial center.</w:t>
      </w:r>
    </w:p>
    <w:bookmarkEnd w:id="32"/>
    <w:bookmarkStart w:id="33" w:name="references-selected"/>
    <w:p>
      <w:pPr>
        <w:pStyle w:val="Heading2"/>
      </w:pPr>
      <w:r>
        <w:t xml:space="preserve">References (Selected)</w:t>
      </w:r>
    </w:p>
    <w:p>
      <w:pPr>
        <w:numPr>
          <w:ilvl w:val="0"/>
          <w:numId w:val="1008"/>
        </w:numPr>
        <w:pStyle w:val="Compact"/>
      </w:pPr>
      <w:r>
        <w:t xml:space="preserve">Capital Markets Board of Turkey (CMB). (2023). *Annual Audit Quality Report*. Ankara.</w:t>
      </w:r>
    </w:p>
    <w:p>
      <w:pPr>
        <w:numPr>
          <w:ilvl w:val="0"/>
          <w:numId w:val="1008"/>
        </w:numPr>
        <w:pStyle w:val="Compact"/>
      </w:pPr>
      <w:r>
        <w:t xml:space="preserve">Kara, M., &amp; Ozkan, A. (2021). *Auditor Independence in Emerging Markets: Evidence from Istanbul*. Journal of Accounting in Emerging Economies, 11(4), 567-589.</w:t>
      </w:r>
    </w:p>
    <w:p>
      <w:pPr>
        <w:numPr>
          <w:ilvl w:val="0"/>
          <w:numId w:val="1008"/>
        </w:numPr>
        <w:pStyle w:val="Compact"/>
      </w:pPr>
      <w:r>
        <w:t xml:space="preserve">OECD. (2022). *Turkey Financial System Stability Assessment*. Paris: OECD Publishing.</w:t>
      </w:r>
    </w:p>
    <w:p>
      <w:pPr>
        <w:numPr>
          <w:ilvl w:val="0"/>
          <w:numId w:val="1008"/>
        </w:numPr>
        <w:pStyle w:val="Compact"/>
      </w:pPr>
      <w:r>
        <w:t xml:space="preserve">Yilmaz, E. (2020). *Cultural Dimensions of Auditor Independence in Turkey*. International Journal of Accounting, 55(3), 114-130.</w:t>
      </w:r>
    </w:p>
    <w:p>
      <w:pPr>
        <w:pStyle w:val="FirstParagraph"/>
      </w:pPr>
      <w:r>
        <w:rPr>
          <w:iCs/>
          <w:i/>
        </w:rPr>
        <w:t xml:space="preserve">This proposal aligns with Turkey's National Strategy for Financial Development (2023) and contributes directly to the Istanbul Economic Summit's priority on "Trustworthy Financial Systems."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Auditor Professionalism and Regulatory Compliance in Istanbul's Financial Ecosystem</dc:title>
  <dc:creator/>
  <dc:language>en</dc:language>
  <cp:keywords/>
  <dcterms:created xsi:type="dcterms:W3CDTF">2026-07-18T23:54:15Z</dcterms:created>
  <dcterms:modified xsi:type="dcterms:W3CDTF">2026-07-18T23:54:15Z</dcterms:modified>
</cp:coreProperties>
</file>

<file path=docProps/custom.xml><?xml version="1.0" encoding="utf-8"?>
<Properties xmlns="http://schemas.openxmlformats.org/officeDocument/2006/custom-properties" xmlns:vt="http://schemas.openxmlformats.org/officeDocument/2006/docPropsVTypes"/>
</file>