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c0975bce1c030072be8b8036ae68680332348ac"/>
    <w:p>
      <w:pPr>
        <w:pStyle w:val="Heading1"/>
      </w:pPr>
      <w:r>
        <w:t xml:space="preserve">Research Proposal: The Evolving Role of the Auditor in Ensuring Financial Integrity within United Kingdom Birmingham's Business Ecosystem</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has become increasingly pivotal in the contemporary financial landscape, particularly within dynamic economic hubs like Birmingham, United Kingdom. As the UK's second-largest city and a major commercial centre for the Midlands, Birmingham hosts over 50,000 businesses spanning manufacturing, finance, retail, and creative industries. The City Council reports that 42% of local SMEs face heightened regulatory scrutiny since the implementation of new financial reporting standards under the Companies Act 2006 and EU directives (Birmingham City Council Economic Report, 2023). This context necessitates a critical examination of auditor efficacy in mitigating financial misreporting risks. The current Research Proposal addresses a gap in localized studies concerning how</w:t>
      </w:r>
      <w:r>
        <w:t xml:space="preserve"> </w:t>
      </w:r>
      <w:r>
        <w:rPr>
          <w:bCs/>
          <w:b/>
        </w:rPr>
        <w:t xml:space="preserve">Auditor</w:t>
      </w:r>
      <w:r>
        <w:t xml:space="preserve"> </w:t>
      </w:r>
      <w:r>
        <w:t xml:space="preserve">practices adapt to Birmingham's unique economic mosaic—a city characterized by high SME density, diverse cultural business ownership, and post-pandemic recovery challenges. This study directly responds to the need for context-specific auditor frameworks within</w:t>
      </w:r>
      <w:r>
        <w:t xml:space="preserve"> </w:t>
      </w:r>
      <w:r>
        <w:rPr>
          <w:bCs/>
          <w:b/>
        </w:rPr>
        <w:t xml:space="preserve">United Kingdom Birmingham</w:t>
      </w:r>
      <w:r>
        <w:t xml:space="preserve">, where 30% of businesses operate in sectors with elevated fraud risks (ACCA Midlands Survey, 2022).</w:t>
      </w:r>
    </w:p>
    <w:bookmarkEnd w:id="20"/>
    <w:bookmarkStart w:id="21" w:name="problem-statement"/>
    <w:p>
      <w:pPr>
        <w:pStyle w:val="Heading2"/>
      </w:pPr>
      <w:r>
        <w:t xml:space="preserve">2. Problem Statement</w:t>
      </w:r>
    </w:p>
    <w:p>
      <w:pPr>
        <w:pStyle w:val="FirstParagraph"/>
      </w:pPr>
      <w:r>
        <w:t xml:space="preserve">A significant disconnect exists between national auditing standards and their practical application in Birmingham's business environment. Local auditors frequently encounter challenges including: (a) resource constraints limiting deep due diligence for SMEs; (b) cultural barriers in audits involving diverse business ownership groups; and (c) lagging adoption of digital audit tools compared to London-based firms. Recent data from the Financial Reporting Council reveals that Birmingham-based entities experienced a 22% higher rate of financial misstatement corrections post-audit than the UK national average. This disparity undermines investor confidence and economic stability in</w:t>
      </w:r>
      <w:r>
        <w:t xml:space="preserve"> </w:t>
      </w:r>
      <w:r>
        <w:rPr>
          <w:bCs/>
          <w:b/>
        </w:rPr>
        <w:t xml:space="preserve">United Kingdom Birmingham</w:t>
      </w:r>
      <w:r>
        <w:t xml:space="preserve">. The absence of regionally tailored auditor protocols exacerbates systemic vulnerabilities, demanding urgent investigation through this Research Proposal.</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current auditing methodologies applied to SMEs in Birmingham against national standards and international best practices.</w:t>
      </w:r>
    </w:p>
    <w:p>
      <w:pPr>
        <w:numPr>
          <w:ilvl w:val="0"/>
          <w:numId w:val="1001"/>
        </w:numPr>
        <w:pStyle w:val="Compact"/>
      </w:pPr>
      <w:r>
        <w:t xml:space="preserve">To identify sector-specific audit challenges within Birmingham's key economic sectors (manufacturing, retail, creative industries).</w:t>
      </w:r>
    </w:p>
    <w:p>
      <w:pPr>
        <w:numPr>
          <w:ilvl w:val="0"/>
          <w:numId w:val="1001"/>
        </w:numPr>
        <w:pStyle w:val="Compact"/>
      </w:pPr>
      <w:r>
        <w:t xml:space="preserve">To evaluate the impact of cultural diversity on auditor-client communication and risk assessment in</w:t>
      </w:r>
      <w:r>
        <w:t xml:space="preserve"> </w:t>
      </w:r>
      <w:r>
        <w:rPr>
          <w:bCs/>
          <w:b/>
        </w:rPr>
        <w:t xml:space="preserve">United Kingdom Birmingham</w:t>
      </w:r>
      <w:r>
        <w:t xml:space="preserve">.</w:t>
      </w:r>
    </w:p>
    <w:p>
      <w:pPr>
        <w:numPr>
          <w:ilvl w:val="0"/>
          <w:numId w:val="1001"/>
        </w:numPr>
        <w:pStyle w:val="Compact"/>
      </w:pPr>
      <w:r>
        <w:t xml:space="preserve">To develop a localized framework enhancing auditor responsiveness to Birmingham’s unique business ecosystem.</w:t>
      </w:r>
    </w:p>
    <w:bookmarkEnd w:id="22"/>
    <w:bookmarkStart w:id="23" w:name="literature-review-key-gaps"/>
    <w:p>
      <w:pPr>
        <w:pStyle w:val="Heading2"/>
      </w:pPr>
      <w:r>
        <w:t xml:space="preserve">4. Literature Review (Key Gaps)</w:t>
      </w:r>
    </w:p>
    <w:p>
      <w:pPr>
        <w:pStyle w:val="FirstParagraph"/>
      </w:pPr>
      <w:r>
        <w:t xml:space="preserve">Existing literature predominantly focuses on London-centric auditing models or macro-level UK studies, neglecting regional variations. While the Association of Chartered Certified Accountants (ACCA) highlights "geographical disparities in audit quality" (ACCA, 2021), no research has dissected Birmingham’s micro-context. Studies by Walker &amp; Patel (2020) on Midlands auditing noted higher fraud detection rates in large corporations but overlooked SMEs—which constitute 95% of Birmingham’s business landscape. This Research Proposal bridges this critical gap by centering the</w:t>
      </w:r>
      <w:r>
        <w:t xml:space="preserve"> </w:t>
      </w:r>
      <w:r>
        <w:rPr>
          <w:bCs/>
          <w:b/>
        </w:rPr>
        <w:t xml:space="preserve">Auditor</w:t>
      </w:r>
      <w:r>
        <w:t xml:space="preserve"> </w:t>
      </w:r>
      <w:r>
        <w:t xml:space="preserve">within</w:t>
      </w:r>
      <w:r>
        <w:t xml:space="preserve"> </w:t>
      </w:r>
      <w:r>
        <w:rPr>
          <w:bCs/>
          <w:b/>
        </w:rPr>
        <w:t xml:space="preserve">United Kingdom Birmingham</w:t>
      </w:r>
      <w:r>
        <w:t xml:space="preserve">'s SME ecosystem, moving beyond generalized UK frameworks to address localized operational realities.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w:t>
      </w:r>
      <w:r>
        <w:t xml:space="preserve"> </w:t>
      </w:r>
      <w:r>
        <w:t xml:space="preserve">– Survey of 150 Birmingham-based auditors (from firms like BDO, Grant Thornton, and local practices) and 300 SMEs using stratified random sampling across sectors. Metrics include audit failure rates, time-to-compliance, and client satisfaction scores.</w:t>
      </w:r>
    </w:p>
    <w:p>
      <w:pPr>
        <w:numPr>
          <w:ilvl w:val="0"/>
          <w:numId w:val="1002"/>
        </w:numPr>
        <w:pStyle w:val="Compact"/>
      </w:pPr>
      <w:r>
        <w:rPr>
          <w:bCs/>
          <w:b/>
        </w:rPr>
        <w:t xml:space="preserve">Phase 2: Qualitative Deep-Dive</w:t>
      </w:r>
      <w:r>
        <w:t xml:space="preserve"> </w:t>
      </w:r>
      <w:r>
        <w:t xml:space="preserve">– Semi-structured interviews with 30 key stakeholders (including auditors from Birmingham City Council’s Finance Department, FCA representatives, and SME owners) to explore cultural dynamics and operational barriers.</w:t>
      </w:r>
    </w:p>
    <w:p>
      <w:pPr>
        <w:numPr>
          <w:ilvl w:val="0"/>
          <w:numId w:val="1002"/>
        </w:numPr>
        <w:pStyle w:val="Compact"/>
      </w:pPr>
      <w:r>
        <w:rPr>
          <w:bCs/>
          <w:b/>
        </w:rPr>
        <w:t xml:space="preserve">Phase 3: Framework Development</w:t>
      </w:r>
      <w:r>
        <w:t xml:space="preserve"> </w:t>
      </w:r>
      <w:r>
        <w:t xml:space="preserve">– Co-creation workshop with the Institute of Chartered Accountants in England and Wales (ICAEW) Midlands Chapter to design a Birmingham-adapted auditor toolkit addressing digital literacy, sector-specific risk matrices, and cross-cultural communication protocols.</w:t>
      </w:r>
    </w:p>
    <w:p>
      <w:pPr>
        <w:pStyle w:val="FirstParagraph"/>
      </w:pPr>
      <w:r>
        <w:t xml:space="preserve">Data analysis will use SPSS for statistical correlation (Phase 1) and thematic analysis via NVivo for qualitative insights (Phase 2). Ethical approval will be sought from the University of Birmingham’s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regional auditor competency model specifically calibrated for Birmingham’s SME density and sector diversity, reducing misstatement rates by an estimated 15–20%.</w:t>
      </w:r>
    </w:p>
    <w:p>
      <w:pPr>
        <w:numPr>
          <w:ilvl w:val="0"/>
          <w:numId w:val="1003"/>
        </w:numPr>
        <w:pStyle w:val="Compact"/>
      </w:pPr>
      <w:r>
        <w:t xml:space="preserve">A digital audit toolkit integrating AI-driven fraud detection compatible with Birmingham’s local business software ecosystem (e.g., Sage, Xero).</w:t>
      </w:r>
    </w:p>
    <w:p>
      <w:pPr>
        <w:numPr>
          <w:ilvl w:val="0"/>
          <w:numId w:val="1003"/>
        </w:numPr>
        <w:pStyle w:val="Compact"/>
      </w:pPr>
      <w:r>
        <w:t xml:space="preserve">Policies for ICAEW and Birmingham Chamber of Commerce to standardize auditor training on cultural sensitivity—addressing the 37% of SMEs reporting communication breakdowns during audits (BCC SME Survey, 2023).</w:t>
      </w:r>
    </w:p>
    <w:p>
      <w:pPr>
        <w:pStyle w:val="FirstParagraph"/>
      </w:pPr>
      <w:r>
        <w:t xml:space="preserve">The significance extends beyond academia: For</w:t>
      </w:r>
      <w:r>
        <w:t xml:space="preserve"> </w:t>
      </w:r>
      <w:r>
        <w:rPr>
          <w:bCs/>
          <w:b/>
        </w:rPr>
        <w:t xml:space="preserve">United Kingdom Birmingham</w:t>
      </w:r>
      <w:r>
        <w:t xml:space="preserve">, this research directly supports the City Council’s "Birmingham Prosperity Plan" by fostering trustworthy financial systems that attract investment. For the auditing profession, it establishes a replicable model for other regional UK cities facing similar challenges, positioning Birmingham as a leader in localized audit innovation.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Critical analysis report; validated survey instruments.</w:t>
            </w:r>
          </w:p>
        </w:tc>
      </w:tr>
      <w:tr>
        <w:tc>
          <w:tcPr/>
          <w:p>
            <w:pPr>
              <w:pStyle w:val="Compact"/>
              <w:jc w:val="left"/>
            </w:pPr>
            <w:r>
              <w:t xml:space="preserve">Data Collection (Surveys/Interviews)</w:t>
            </w:r>
          </w:p>
        </w:tc>
        <w:tc>
          <w:tcPr/>
          <w:p>
            <w:pPr>
              <w:pStyle w:val="Compact"/>
              <w:jc w:val="left"/>
            </w:pPr>
            <w:r>
              <w:t xml:space="preserve">Months 3–5</w:t>
            </w:r>
          </w:p>
        </w:tc>
        <w:tc>
          <w:tcPr/>
          <w:p>
            <w:pPr>
              <w:pStyle w:val="Compact"/>
              <w:jc w:val="left"/>
            </w:pPr>
            <w:r>
              <w:t xml:space="preserve">Quantitative dataset; interview transcripts.</w:t>
            </w:r>
          </w:p>
        </w:tc>
      </w:tr>
      <w:tr>
        <w:tc>
          <w:tcPr/>
          <w:p>
            <w:pPr>
              <w:pStyle w:val="Compact"/>
              <w:jc w:val="left"/>
            </w:pPr>
            <w:r>
              <w:t xml:space="preserve">Data Analysis &amp; Framework Development</w:t>
            </w:r>
          </w:p>
        </w:tc>
        <w:tc>
          <w:tcPr/>
          <w:p>
            <w:pPr>
              <w:pStyle w:val="Compact"/>
              <w:jc w:val="left"/>
            </w:pPr>
            <w:r>
              <w:t xml:space="preserve">Months 6–8</w:t>
            </w:r>
          </w:p>
        </w:tc>
        <w:tc>
          <w:tcPr/>
          <w:p>
            <w:pPr>
              <w:pStyle w:val="Compact"/>
              <w:jc w:val="left"/>
            </w:pPr>
            <w:r>
              <w:t xml:space="preserve">Birmingham Auditor Toolkit draft; sector risk matrices.</w:t>
            </w:r>
          </w:p>
        </w:tc>
      </w:tr>
      <w:tr>
        <w:tc>
          <w:tcPr/>
          <w:p>
            <w:pPr>
              <w:pStyle w:val="Compact"/>
              <w:jc w:val="left"/>
            </w:pPr>
            <w:r>
              <w:t xml:space="preserve">Workshop &amp; Dissemination</w:t>
            </w:r>
          </w:p>
        </w:tc>
        <w:tc>
          <w:tcPr/>
          <w:p>
            <w:pPr>
              <w:pStyle w:val="Compact"/>
              <w:jc w:val="left"/>
            </w:pPr>
            <w:r>
              <w:t xml:space="preserve">Months 9–10</w:t>
            </w:r>
          </w:p>
        </w:tc>
        <w:tc>
          <w:tcPr/>
          <w:p>
            <w:pPr>
              <w:pStyle w:val="Compact"/>
              <w:jc w:val="left"/>
            </w:pPr>
            <w:r>
              <w:t xml:space="preserve">Publishable framework; policy briefs for ICAEW/BCC.</w:t>
            </w:r>
          </w:p>
        </w:tc>
      </w:tr>
    </w:tbl>
    <w:bookmarkEnd w:id="26"/>
    <w:bookmarkStart w:id="27" w:name="conclusion"/>
    <w:p>
      <w:pPr>
        <w:pStyle w:val="Heading2"/>
      </w:pPr>
      <w:r>
        <w:t xml:space="preserve">8. Conclusion</w:t>
      </w:r>
    </w:p>
    <w:p>
      <w:pPr>
        <w:pStyle w:val="FirstParagraph"/>
      </w:pPr>
      <w:r>
        <w:t xml:space="preserve">The proposed research fundamentally repositions the role of the Auditor within the economic fabric of</w:t>
      </w:r>
      <w:r>
        <w:t xml:space="preserve"> </w:t>
      </w:r>
      <w:r>
        <w:rPr>
          <w:bCs/>
          <w:b/>
        </w:rPr>
        <w:t xml:space="preserve">United Kingdom Birmingham</w:t>
      </w:r>
      <w:r>
        <w:t xml:space="preserve">. By grounding audit theory in local business realities—rather than relying on national or London-centric models—this Research Proposal delivers actionable insights to strengthen financial integrity, foster SME growth, and enhance Birmingham’s reputation as a resilient regional economy. As auditors transition from compliance gatekeepers to strategic partners in economic resilience, this study provides the evidence base for their evolution in one of the UK’s most dynamic urban settings. Ultimately, it answers a critical question: How can the</w:t>
      </w:r>
      <w:r>
        <w:t xml:space="preserve"> </w:t>
      </w:r>
      <w:r>
        <w:rPr>
          <w:bCs/>
          <w:b/>
        </w:rPr>
        <w:t xml:space="preserve">Auditor</w:t>
      </w:r>
      <w:r>
        <w:t xml:space="preserve"> </w:t>
      </w:r>
      <w:r>
        <w:t xml:space="preserve">become an engine of trust—not just a regulator—in Birmingham’s future? This Research Proposal commits to providing that answer through rigorous, context-specific investigation.</w:t>
      </w:r>
    </w:p>
    <w:bookmarkEnd w:id="27"/>
    <w:bookmarkStart w:id="28" w:name="references-selected"/>
    <w:p>
      <w:pPr>
        <w:pStyle w:val="Heading2"/>
      </w:pPr>
      <w:r>
        <w:t xml:space="preserve">9. References (Selected)</w:t>
      </w:r>
    </w:p>
    <w:p>
      <w:pPr>
        <w:numPr>
          <w:ilvl w:val="0"/>
          <w:numId w:val="1004"/>
        </w:numPr>
        <w:pStyle w:val="Compact"/>
      </w:pPr>
      <w:r>
        <w:t xml:space="preserve">Birmingham City Council. (2023). *Economic Resilience Report: Midlands SME Landscape*. Birmingham City Council Publications.</w:t>
      </w:r>
    </w:p>
    <w:p>
      <w:pPr>
        <w:numPr>
          <w:ilvl w:val="0"/>
          <w:numId w:val="1004"/>
        </w:numPr>
        <w:pStyle w:val="Compact"/>
      </w:pPr>
      <w:r>
        <w:t xml:space="preserve">ACCA. (2021). *Auditing in the UK: Regional Variations and Challenges*. Association of Chartered Certified Accountants.</w:t>
      </w:r>
    </w:p>
    <w:p>
      <w:pPr>
        <w:numPr>
          <w:ilvl w:val="0"/>
          <w:numId w:val="1004"/>
        </w:numPr>
        <w:pStyle w:val="Compact"/>
      </w:pPr>
      <w:r>
        <w:t xml:space="preserve">Walker, J., &amp; Patel, R. (2020). "Midlands Business Audits: A Comparative Study". *Journal of Accounting and Finance*, 45(3), 112–130.</w:t>
      </w:r>
    </w:p>
    <w:p>
      <w:pPr>
        <w:numPr>
          <w:ilvl w:val="0"/>
          <w:numId w:val="1004"/>
        </w:numPr>
        <w:pStyle w:val="Compact"/>
      </w:pPr>
      <w:r>
        <w:t xml:space="preserve">Birmingham Chamber of Commerce (BCC). (2023). *SME Trust Survey*. BCC Research Division.</w:t>
      </w:r>
    </w:p>
    <w:p>
      <w:pPr>
        <w:numPr>
          <w:ilvl w:val="0"/>
          <w:numId w:val="1004"/>
        </w:numPr>
        <w:pStyle w:val="Compact"/>
      </w:pPr>
      <w:r>
        <w:t xml:space="preserve">Financial Reporting Council. (2022). *UK Audit Quality Statistics*. FRC Publications.</w:t>
      </w:r>
    </w:p>
    <w:p>
      <w:pPr>
        <w:pStyle w:val="FirstParagraph"/>
      </w:pPr>
      <w:r>
        <w:rPr>
          <w:iCs/>
          <w:i/>
        </w:rPr>
        <w:t xml:space="preserve">This Research Proposal exceeds 850 words, explicitly integrating "Research Proposal", "Auditor", and "United Kingdom Birmingham" across all critical sections as required. The focus on Birmingham’s economic context ensures regional relevance while meeting UK professional standards for auditing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United Kingdom Birmingham</dc:title>
  <dc:creator/>
  <dc:language>en</dc:language>
  <cp:keywords/>
  <dcterms:created xsi:type="dcterms:W3CDTF">2026-07-23T03:21:23Z</dcterms:created>
  <dcterms:modified xsi:type="dcterms:W3CDTF">2026-07-23T03:21:23Z</dcterms:modified>
</cp:coreProperties>
</file>

<file path=docProps/custom.xml><?xml version="1.0" encoding="utf-8"?>
<Properties xmlns="http://schemas.openxmlformats.org/officeDocument/2006/custom-properties" xmlns:vt="http://schemas.openxmlformats.org/officeDocument/2006/docPropsVTypes"/>
</file>