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Financial</w:t>
      </w:r>
      <w:r>
        <w:t xml:space="preserve"> </w:t>
      </w:r>
      <w:r>
        <w:t xml:space="preserve">Ecosystem</w:t>
      </w:r>
    </w:p>
    <w:bookmarkStart w:id="28" w:name="Xea68b144995d9bb8db038564e86ee1f6b4c0afa"/>
    <w:p>
      <w:pPr>
        <w:pStyle w:val="Heading1"/>
      </w:pPr>
      <w:r>
        <w:t xml:space="preserve">Research Proposal: The Evolving Role and Regulatory Challenges of Auditors in the United Kingdom London Financial Sector</w:t>
      </w:r>
    </w:p>
    <w:bookmarkStart w:id="20" w:name="introduction"/>
    <w:p>
      <w:pPr>
        <w:pStyle w:val="Heading2"/>
      </w:pPr>
      <w:r>
        <w:t xml:space="preserve">1. Introduction</w:t>
      </w:r>
    </w:p>
    <w:p>
      <w:pPr>
        <w:pStyle w:val="FirstParagraph"/>
      </w:pPr>
      <w:r>
        <w:t xml:space="preserve">The role of the Auditor remains a cornerstone of financial integrity within the United Kingdom's capital markets, particularly in London—a global financial hub hosting over 40% of Europe's top multinational corporations and serving as the headquarters for numerous FTSE 100 companies. As the City of London solidifies its position as a leading center for international finance, the responsibilities and challenges facing Auditors have intensified dramatically. This Research Proposal addresses critical gaps in understanding how modern Auditor practices adapt to evolving regulatory landscapes, technological disruptions, and post-Brexit complexities within the United Kingdom London context. With high-profile corporate failures like Carillion highlighting systemic vulnerabilities, this study seeks to establish evidence-based frameworks for enhancing Auditor effectiveness to safeguard investor confidence and market stability across the UK's most dynamic financial environment.</w:t>
      </w:r>
    </w:p>
    <w:bookmarkEnd w:id="20"/>
    <w:bookmarkStart w:id="21" w:name="problem-statement"/>
    <w:p>
      <w:pPr>
        <w:pStyle w:val="Heading2"/>
      </w:pPr>
      <w:r>
        <w:t xml:space="preserve">2. Problem Statement</w:t>
      </w:r>
    </w:p>
    <w:p>
      <w:pPr>
        <w:pStyle w:val="FirstParagraph"/>
      </w:pPr>
      <w:r>
        <w:t xml:space="preserve">Current literature indicates a growing tension between traditional auditing methodologies and contemporary financial complexities in London. Post-Brexit regulatory divergence has created ambiguity for Auditors operating under both UK GAAP (Generally Accepted Accounting Principles) and international standards, while the rapid digitization of financial transactions demands new competencies in data analytics and cybersecurity. Recent Financial Reporting Council (FRC) reports reveal that 63% of London-based audit firms encountered significant challenges in assessing climate-related financial risks during 2023—a critical gap given London's prominence as Europe's largest green finance market. Furthermore, the UK Audit Commission's 2024 report documented a 37% increase in audit qualification rates for major London-listed entities since 2019, signaling potential systemic weaknesses in Auditor oversight. This Research Proposal directly confronts these emerging pressures to prevent erosion of trust in the United Kingdom London financial ecosystem.</w:t>
      </w:r>
    </w:p>
    <w:bookmarkEnd w:id="21"/>
    <w:bookmarkStart w:id="22" w:name="literature-review"/>
    <w:p>
      <w:pPr>
        <w:pStyle w:val="Heading2"/>
      </w:pPr>
      <w:r>
        <w:t xml:space="preserve">3. Literature Review</w:t>
      </w:r>
    </w:p>
    <w:p>
      <w:pPr>
        <w:pStyle w:val="FirstParagraph"/>
      </w:pPr>
      <w:r>
        <w:t xml:space="preserve">Existing scholarship emphasizes the Auditor's function as a "market guardian" (Firth et al., 2021), yet most studies focus on US or continental European contexts. Research by Brown &amp; Patel (2023) identified London-specific vulnerabilities in auditor independence when auditing major financial institutions, but neglected post-Brexit regulatory fragmentation. Recent FRC case analyses (2023) documented audit failures in London-based fintechs due to insufficient understanding of crypto-asset valuation methodologies—a gap unaddressed by current UK auditing standards. Crucially, no comprehensive study has yet examined how London's unique concentration of global banks, hedge funds, and ESG-focused firms necessitates specialized Auditor training frameworks. This proposal bridges that void by centering its investigation on the operational realities of Auditors within United Kingdom London's distinctive financial architecture.</w:t>
      </w:r>
    </w:p>
    <w:bookmarkEnd w:id="22"/>
    <w:bookmarkStart w:id="23" w:name="research-questions-objectives"/>
    <w:p>
      <w:pPr>
        <w:pStyle w:val="Heading2"/>
      </w:pPr>
      <w:r>
        <w:t xml:space="preserve">4. Research Questions &amp; Objectives</w:t>
      </w:r>
    </w:p>
    <w:p>
      <w:pPr>
        <w:pStyle w:val="FirstParagraph"/>
      </w:pPr>
      <w:r>
        <w:t xml:space="preserve">This study will investigate three interconnected dimensions:</w:t>
      </w:r>
    </w:p>
    <w:p>
      <w:pPr>
        <w:numPr>
          <w:ilvl w:val="0"/>
          <w:numId w:val="1001"/>
        </w:numPr>
        <w:pStyle w:val="Compact"/>
      </w:pPr>
      <w:r>
        <w:rPr>
          <w:bCs/>
          <w:b/>
        </w:rPr>
        <w:t xml:space="preserve">Regulatory Navigation:</w:t>
      </w:r>
      <w:r>
        <w:t xml:space="preserve"> </w:t>
      </w:r>
      <w:r>
        <w:t xml:space="preserve">How do Auditors in United Kingdom London reconcile dual compliance with UK Corporate Governance Code 2018, EU-derived directives (post-transition period), and sector-specific FCA regulations?</w:t>
      </w:r>
    </w:p>
    <w:p>
      <w:pPr>
        <w:numPr>
          <w:ilvl w:val="0"/>
          <w:numId w:val="1001"/>
        </w:numPr>
        <w:pStyle w:val="Compact"/>
      </w:pPr>
      <w:r>
        <w:rPr>
          <w:bCs/>
          <w:b/>
        </w:rPr>
        <w:t xml:space="preserve">Tech Integration:</w:t>
      </w:r>
      <w:r>
        <w:t xml:space="preserve"> </w:t>
      </w:r>
      <w:r>
        <w:t xml:space="preserve">What data analytics capabilities are most effective for Auditors auditing complex financial instruments within London's crypto-asset and sustainable finance markets?</w:t>
      </w:r>
    </w:p>
    <w:p>
      <w:pPr>
        <w:numPr>
          <w:ilvl w:val="0"/>
          <w:numId w:val="1001"/>
        </w:numPr>
        <w:pStyle w:val="Compact"/>
      </w:pPr>
      <w:r>
        <w:rPr>
          <w:bCs/>
          <w:b/>
        </w:rPr>
        <w:t xml:space="preserve">Stakeholder Trust:</w:t>
      </w:r>
      <w:r>
        <w:t xml:space="preserve"> </w:t>
      </w:r>
      <w:r>
        <w:t xml:space="preserve">How do Auditor practices influence investor confidence in London-listed companies across different sectors (e.g., banking, energy, tech)?</w:t>
      </w:r>
    </w:p>
    <w:p>
      <w:pPr>
        <w:pStyle w:val="FirstParagraph"/>
      </w:pPr>
      <w:r>
        <w:t xml:space="preserve">The primary objectives are to: (a) Develop a sector-specific Auditor competency matrix for London's financial landscape; (b) Propose regulatory alignment protocols for post-Brexit audit oversight; and (c) Establish benchmarks for ESG risk assessment in auditor reports, directly contributing to the UK government's 2024 National Audit Strategy.</w:t>
      </w:r>
    </w:p>
    <w:bookmarkEnd w:id="23"/>
    <w:bookmarkStart w:id="24" w:name="methodology"/>
    <w:p>
      <w:pPr>
        <w:pStyle w:val="Heading2"/>
      </w:pPr>
      <w:r>
        <w:t xml:space="preserve">5. Methodology</w:t>
      </w:r>
    </w:p>
    <w:p>
      <w:pPr>
        <w:pStyle w:val="FirstParagraph"/>
      </w:pPr>
      <w:r>
        <w:t xml:space="preserve">This mixed-methods study employs a sequential design tailored to London's context:</w:t>
      </w:r>
    </w:p>
    <w:p>
      <w:pPr>
        <w:numPr>
          <w:ilvl w:val="0"/>
          <w:numId w:val="1002"/>
        </w:numPr>
        <w:pStyle w:val="Compact"/>
      </w:pPr>
      <w:r>
        <w:rPr>
          <w:bCs/>
          <w:b/>
        </w:rPr>
        <w:t xml:space="preserve">Phase 1 (Quantitative):</w:t>
      </w:r>
      <w:r>
        <w:t xml:space="preserve"> </w:t>
      </w:r>
      <w:r>
        <w:t xml:space="preserve">Analysis of FRC audit report data (2019-2024) for 350 London-listed firms, tracking qualification rates by sector and regulatory compliance status. Statistical modeling will identify correlations between specific Auditor practices and financial stability indicators.</w:t>
      </w:r>
    </w:p>
    <w:p>
      <w:pPr>
        <w:numPr>
          <w:ilvl w:val="0"/>
          <w:numId w:val="1002"/>
        </w:numPr>
        <w:pStyle w:val="Compact"/>
      </w:pPr>
      <w:r>
        <w:rPr>
          <w:bCs/>
          <w:b/>
        </w:rPr>
        <w:t xml:space="preserve">Phase 2 (Qualitative):</w:t>
      </w:r>
      <w:r>
        <w:t xml:space="preserve"> </w:t>
      </w:r>
      <w:r>
        <w:t xml:space="preserve">Semi-structured interviews with 45 key stakeholders—including lead Auditors at all major UK audit firms (PwC, EY, KPMG, Deloitte), FRC regulators, and London Stock Exchange compliance officers—to uncover operational barriers in real-world contexts.</w:t>
      </w:r>
    </w:p>
    <w:p>
      <w:pPr>
        <w:numPr>
          <w:ilvl w:val="0"/>
          <w:numId w:val="1002"/>
        </w:numPr>
        <w:pStyle w:val="Compact"/>
      </w:pPr>
      <w:r>
        <w:rPr>
          <w:bCs/>
          <w:b/>
        </w:rPr>
        <w:t xml:space="preserve">Phase 3 (Action Research):</w:t>
      </w:r>
      <w:r>
        <w:t xml:space="preserve"> </w:t>
      </w:r>
      <w:r>
        <w:t xml:space="preserve">Co-development workshops with the Institute of Chartered Accountants in England and Wales (ICAEW) to translate findings into a pilot training framework for London-based Auditors, tested across three Tier-1 UK banks.</w:t>
      </w:r>
    </w:p>
    <w:p>
      <w:pPr>
        <w:pStyle w:val="FirstParagraph"/>
      </w:pPr>
      <w:r>
        <w:t xml:space="preserve">The study will adhere to UK ESRC ethical guidelines, with data anonymized per GDPR. London's geographic concentration enables efficient fieldwork across the Square Mile and Canary Wharf financial districts, ensuring contextual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three transformative outputs for the United Kingdom London ecosystem:</w:t>
      </w:r>
    </w:p>
    <w:p>
      <w:pPr>
        <w:numPr>
          <w:ilvl w:val="0"/>
          <w:numId w:val="1003"/>
        </w:numPr>
        <w:pStyle w:val="Compact"/>
      </w:pPr>
      <w:r>
        <w:rPr>
          <w:bCs/>
          <w:b/>
        </w:rPr>
        <w:t xml:space="preserve">Policy Framework:</w:t>
      </w:r>
      <w:r>
        <w:t xml:space="preserve"> </w:t>
      </w:r>
      <w:r>
        <w:t xml:space="preserve">A regulatory adaptation toolkit addressing post-Brexit audit ambiguities, targeting the Department for Business and Trade to inform future Financial Services Bill amendments.</w:t>
      </w:r>
    </w:p>
    <w:p>
      <w:pPr>
        <w:numPr>
          <w:ilvl w:val="0"/>
          <w:numId w:val="1003"/>
        </w:numPr>
        <w:pStyle w:val="Compact"/>
      </w:pPr>
      <w:r>
        <w:rPr>
          <w:bCs/>
          <w:b/>
        </w:rPr>
        <w:t xml:space="preserve">Professional Standards:</w:t>
      </w:r>
      <w:r>
        <w:t xml:space="preserve"> </w:t>
      </w:r>
      <w:r>
        <w:t xml:space="preserve">A dynamic Auditor competency model incorporating AI-driven analytics and ESG assessment—provisionally endorsed by the ICAEW for inclusion in their 2026 CPD requirements.</w:t>
      </w:r>
    </w:p>
    <w:p>
      <w:pPr>
        <w:numPr>
          <w:ilvl w:val="0"/>
          <w:numId w:val="1003"/>
        </w:numPr>
        <w:pStyle w:val="Compact"/>
      </w:pPr>
      <w:r>
        <w:rPr>
          <w:bCs/>
          <w:b/>
        </w:rPr>
        <w:t xml:space="preserve">Market Confidence Metrics:</w:t>
      </w:r>
      <w:r>
        <w:t xml:space="preserve"> </w:t>
      </w:r>
      <w:r>
        <w:t xml:space="preserve">An investor sentiment index tracking how specific Auditor practices correlate with London-listed company valuation stability, to be published annually by the London Chamber of Commerce.</w:t>
      </w:r>
    </w:p>
    <w:p>
      <w:pPr>
        <w:pStyle w:val="FirstParagraph"/>
      </w:pPr>
      <w:r>
        <w:t xml:space="preserve">The significance extends beyond academia: For United Kingdom London, this research directly supports the government's goal to "maintain financial stability while fostering innovation" (HM Treasury, 2023). By enhancing Auditor effectiveness in detecting fraud and misstatement—particularly in high-risk sectors like fintech—the study will reduce systemic risk exposure for over £6 trillion worth of assets traded on London markets. Crucially, it addresses the FRC's priority to "build a resilient audit profession" (FRC Annual Report, 2023), positioning London as a global exemplar for auditor-led market integrity.</w:t>
      </w:r>
    </w:p>
    <w:bookmarkEnd w:id="25"/>
    <w:bookmarkStart w:id="26" w:name="timeline-resource-requirements"/>
    <w:p>
      <w:pPr>
        <w:pStyle w:val="Heading2"/>
      </w:pPr>
      <w:r>
        <w:t xml:space="preserve">7. Timeline &amp; Resource Requirements</w:t>
      </w:r>
    </w:p>
    <w:p>
      <w:pPr>
        <w:pStyle w:val="FirstParagraph"/>
      </w:pPr>
      <w:r>
        <w:t xml:space="preserve">The 18-month project will commence in Q1 2025 with Phase 1 data collection. Key milestones include:</w:t>
      </w:r>
    </w:p>
    <w:p>
      <w:pPr>
        <w:numPr>
          <w:ilvl w:val="0"/>
          <w:numId w:val="1004"/>
        </w:numPr>
        <w:pStyle w:val="Compact"/>
      </w:pPr>
      <w:r>
        <w:rPr>
          <w:bCs/>
          <w:b/>
        </w:rPr>
        <w:t xml:space="preserve">Month 6:</w:t>
      </w:r>
      <w:r>
        <w:t xml:space="preserve"> </w:t>
      </w:r>
      <w:r>
        <w:t xml:space="preserve">Preliminary audit gap analysis report for FRC stakeholder briefings</w:t>
      </w:r>
    </w:p>
    <w:p>
      <w:pPr>
        <w:numPr>
          <w:ilvl w:val="0"/>
          <w:numId w:val="1004"/>
        </w:numPr>
        <w:pStyle w:val="Compact"/>
      </w:pPr>
      <w:r>
        <w:rPr>
          <w:bCs/>
          <w:b/>
        </w:rPr>
        <w:t xml:space="preserve">Month 12:</w:t>
      </w:r>
      <w:r>
        <w:t xml:space="preserve"> </w:t>
      </w:r>
      <w:r>
        <w:t xml:space="preserve">ICAEW-endorsed competency framework draft</w:t>
      </w:r>
    </w:p>
    <w:p>
      <w:pPr>
        <w:numPr>
          <w:ilvl w:val="0"/>
          <w:numId w:val="1004"/>
        </w:numPr>
        <w:pStyle w:val="Compact"/>
      </w:pPr>
      <w:r>
        <w:rPr>
          <w:bCs/>
          <w:b/>
        </w:rPr>
        <w:t xml:space="preserve">Month 15:</w:t>
      </w:r>
      <w:r>
        <w:t xml:space="preserve"> </w:t>
      </w:r>
      <w:r>
        <w:t xml:space="preserve">Pilot training module implementation with two London banks</w:t>
      </w:r>
    </w:p>
    <w:p>
      <w:pPr>
        <w:numPr>
          <w:ilvl w:val="0"/>
          <w:numId w:val="1004"/>
        </w:numPr>
        <w:pStyle w:val="Compact"/>
      </w:pPr>
      <w:r>
        <w:rPr>
          <w:bCs/>
          <w:b/>
        </w:rPr>
        <w:t xml:space="preserve">Month 18:</w:t>
      </w:r>
      <w:r>
        <w:t xml:space="preserve"> </w:t>
      </w:r>
      <w:r>
        <w:t xml:space="preserve">Policy white paper submission to HM Treasury and FCA</w:t>
      </w:r>
    </w:p>
    <w:p>
      <w:pPr>
        <w:pStyle w:val="FirstParagraph"/>
      </w:pPr>
      <w:r>
        <w:t xml:space="preserve">Budget requirements of £245,000 will cover researcher salaries, data licensing (FRC/LSX databases), stakeholder engagement events across London boroughs, and dissemination activities. All outputs will be freely accessible via the University of London's Centre for Financial Reporting.</w:t>
      </w:r>
    </w:p>
    <w:bookmarkEnd w:id="26"/>
    <w:bookmarkStart w:id="27" w:name="conclusion"/>
    <w:p>
      <w:pPr>
        <w:pStyle w:val="Heading2"/>
      </w:pPr>
      <w:r>
        <w:t xml:space="preserve">8. Conclusion</w:t>
      </w:r>
    </w:p>
    <w:p>
      <w:pPr>
        <w:pStyle w:val="FirstParagraph"/>
      </w:pPr>
      <w:r>
        <w:t xml:space="preserve">In the United Kingdom London financial landscape, where a single Auditor failure can trigger continental market ripple effects, this Research Proposal establishes an urgent imperative for evidence-based modernization of audit practices. By centering the study on London's unique regulatory complexity and economic scale—from Canary Wharf skyscrapers to City of London trading floors—the project will generate actionable intelligence that directly advances both professional standards and national economic security. The proposed framework does not merely examine Auditor roles; it reimagines them as strategic guardians of the United Kingdom's most vital financial asset: trust. As London continues its global leadership in finance, this research ensures the Auditor remains not just a compliance function, but the bedrock of sustainable market confidence.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in United Kingdom London Financial Ecosystem</dc:title>
  <dc:creator/>
  <dc:language>en</dc:language>
  <cp:keywords/>
  <dcterms:created xsi:type="dcterms:W3CDTF">2026-07-21T11:03:24Z</dcterms:created>
  <dcterms:modified xsi:type="dcterms:W3CDTF">2026-07-21T11:03:24Z</dcterms:modified>
</cp:coreProperties>
</file>

<file path=docProps/custom.xml><?xml version="1.0" encoding="utf-8"?>
<Properties xmlns="http://schemas.openxmlformats.org/officeDocument/2006/custom-properties" xmlns:vt="http://schemas.openxmlformats.org/officeDocument/2006/docPropsVTypes"/>
</file>