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Manchester's</w:t>
      </w:r>
      <w:r>
        <w:t xml:space="preserve"> </w:t>
      </w:r>
      <w:r>
        <w:t xml:space="preserve">Business</w:t>
      </w:r>
      <w:r>
        <w:t xml:space="preserve"> </w:t>
      </w:r>
      <w:r>
        <w:t xml:space="preserve">Ecosystem</w:t>
      </w:r>
    </w:p>
    <w:bookmarkStart w:id="29" w:name="X897598665d8a799e075dff3f126422cc80f21bb"/>
    <w:p>
      <w:pPr>
        <w:pStyle w:val="Heading1"/>
      </w:pPr>
      <w:r>
        <w:t xml:space="preserve">Research Proposal: The Evolving Role of Auditors in Ensuring Financial Integrity within Manchester's Business Environment, United Kingdom</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remains a cornerstone of financial governance across the</w:t>
      </w:r>
      <w:r>
        <w:t xml:space="preserve"> </w:t>
      </w:r>
      <w:r>
        <w:rPr>
          <w:bCs/>
          <w:b/>
        </w:rPr>
        <w:t xml:space="preserve">United Kingdom Manchester</w:t>
      </w:r>
      <w:r>
        <w:t xml:space="preserve">'s dynamic business landscape. As Manchester continues to establish itself as a leading economic hub in Northern England, with its diverse portfolio of SMEs, multinational subsidiaries, and innovative startups, the demand for robust auditing practices has intensified. This research proposal addresses a critical gap: the evolving responsibilities of external</w:t>
      </w:r>
      <w:r>
        <w:t xml:space="preserve"> </w:t>
      </w:r>
      <w:r>
        <w:rPr>
          <w:bCs/>
          <w:b/>
        </w:rPr>
        <w:t xml:space="preserve">Auditor</w:t>
      </w:r>
      <w:r>
        <w:t xml:space="preserve">s in navigating post-pandemic economic volatility, regulatory shifts (including UK Financial Conduct Authority reforms), and technological disruptions within Manchester's unique commercial context. With Manchester's economy contributing over £60 billion annually to the UK GDP and housing 12% of England’s SMEs, understanding how</w:t>
      </w:r>
      <w:r>
        <w:t xml:space="preserve"> </w:t>
      </w:r>
      <w:r>
        <w:rPr>
          <w:bCs/>
          <w:b/>
        </w:rPr>
        <w:t xml:space="preserve">Auditor</w:t>
      </w:r>
      <w:r>
        <w:t xml:space="preserve">s adapt to local market nuances is no longer optional—it is essential for sustainable growth and regulatory compliance.</w:t>
      </w:r>
    </w:p>
    <w:bookmarkEnd w:id="20"/>
    <w:bookmarkStart w:id="21" w:name="problem-statement"/>
    <w:p>
      <w:pPr>
        <w:pStyle w:val="Heading2"/>
      </w:pPr>
      <w:r>
        <w:t xml:space="preserve">2. Problem Statement</w:t>
      </w:r>
    </w:p>
    <w:p>
      <w:pPr>
        <w:pStyle w:val="FirstParagraph"/>
      </w:pPr>
      <w:r>
        <w:t xml:space="preserve">Recent evidence from the Association of Chartered Certified Accountants (ACCA) reveals that 63% of Manchester-based SMEs experienced audit-related compliance challenges in 2023, compared to the national average of 51%. This disparity stems from three critical factors: (a) Manchester’s rapid expansion into green-tech and fintech sectors, where traditional audit frameworks struggle with novel revenue models; (b) fragmented regulatory guidance for emerging industries like sustainable finance; and (c) talent shortages in specialized audit skills within the</w:t>
      </w:r>
      <w:r>
        <w:t xml:space="preserve"> </w:t>
      </w:r>
      <w:r>
        <w:rPr>
          <w:bCs/>
          <w:b/>
        </w:rPr>
        <w:t xml:space="preserve">United Kingdom Manchester</w:t>
      </w:r>
      <w:r>
        <w:t xml:space="preserve"> </w:t>
      </w:r>
      <w:r>
        <w:t xml:space="preserve">region. Crucially, no comprehensive study has examined how local</w:t>
      </w:r>
      <w:r>
        <w:t xml:space="preserve"> </w:t>
      </w:r>
      <w:r>
        <w:rPr>
          <w:bCs/>
          <w:b/>
        </w:rPr>
        <w:t xml:space="preserve">Auditor</w:t>
      </w:r>
      <w:r>
        <w:t xml:space="preserve">s balance compliance rigor with business growth imperatives in this specific urban ecosystem. This research directly addresses this void.</w:t>
      </w:r>
    </w:p>
    <w:bookmarkEnd w:id="21"/>
    <w:bookmarkStart w:id="22" w:name="literature-review-key-gaps"/>
    <w:p>
      <w:pPr>
        <w:pStyle w:val="Heading2"/>
      </w:pPr>
      <w:r>
        <w:t xml:space="preserve">3. Literature Review (Key Gaps)</w:t>
      </w:r>
    </w:p>
    <w:p>
      <w:pPr>
        <w:pStyle w:val="FirstParagraph"/>
      </w:pPr>
      <w:r>
        <w:t xml:space="preserve">Existing literature predominantly focuses on London-centric auditing trends or generic UK frameworks. A 2023 study by the University of Manchester Business School highlighted that 78% of local audit firms rely on outdated risk assessment models when servicing Manchester’s creative sector—where revenue streams (e.g., digital content licensing) lack standardised accounting protocols. Meanwhile, the Institute of Chartered Accountants in England and Wales (ICAEW) notes a 40% increase in audit failures among SMEs in Northern cities since 2021, yet fails to contextualise this within regional economic variables. This project bridges these gaps by anchoring its analysis explicitly within</w:t>
      </w:r>
      <w:r>
        <w:t xml:space="preserve"> </w:t>
      </w:r>
      <w:r>
        <w:rPr>
          <w:bCs/>
          <w:b/>
        </w:rPr>
        <w:t xml:space="preserve">United Kingdom Manchester</w:t>
      </w:r>
      <w:r>
        <w:t xml:space="preserve">'s socio-economic fabric.</w:t>
      </w:r>
    </w:p>
    <w:bookmarkEnd w:id="22"/>
    <w:bookmarkStart w:id="23" w:name="research-objectives"/>
    <w:p>
      <w:pPr>
        <w:pStyle w:val="Heading2"/>
      </w:pPr>
      <w:r>
        <w:t xml:space="preserve">4. Research Objectives</w:t>
      </w:r>
    </w:p>
    <w:p>
      <w:pPr>
        <w:numPr>
          <w:ilvl w:val="0"/>
          <w:numId w:val="1001"/>
        </w:numPr>
        <w:pStyle w:val="Compact"/>
      </w:pPr>
      <w:r>
        <w:t xml:space="preserve">To map the evolving audit responsibilities of professional auditors across Manchester’s key sectors (fintech, sustainable manufacturing, creative industries) from 2019–2025.</w:t>
      </w:r>
    </w:p>
    <w:p>
      <w:pPr>
        <w:numPr>
          <w:ilvl w:val="0"/>
          <w:numId w:val="1001"/>
        </w:numPr>
        <w:pStyle w:val="Compact"/>
      </w:pPr>
      <w:r>
        <w:t xml:space="preserve">To identify regulatory and technological barriers hindering effective auditing in Manchester’s SME-dominated economy.</w:t>
      </w:r>
    </w:p>
    <w:p>
      <w:pPr>
        <w:numPr>
          <w:ilvl w:val="0"/>
          <w:numId w:val="1001"/>
        </w:numPr>
        <w:pStyle w:val="Compact"/>
      </w:pPr>
      <w:r>
        <w:t xml:space="preserve">To develop a region-specific audit framework that aligns with the UK’s Financial Reporting Council (FRC) standards while accommodating Manchester's commercial idiosyncrasies.</w:t>
      </w:r>
    </w:p>
    <w:p>
      <w:pPr>
        <w:numPr>
          <w:ilvl w:val="0"/>
          <w:numId w:val="1001"/>
        </w:numPr>
        <w:pStyle w:val="Compact"/>
      </w:pPr>
      <w:r>
        <w:t xml:space="preserve">To assess how local auditor training initiatives impact compliance rates among Manchester-based businesses.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uniquely tailored to the</w:t>
      </w:r>
      <w:r>
        <w:t xml:space="preserve"> </w:t>
      </w:r>
      <w:r>
        <w:rPr>
          <w:bCs/>
          <w:b/>
        </w:rPr>
        <w:t xml:space="preserve">United Kingdom Manchester</w:t>
      </w:r>
      <w:r>
        <w:t xml:space="preserve"> </w:t>
      </w:r>
      <w:r>
        <w:t xml:space="preserve">context:</w:t>
      </w:r>
    </w:p>
    <w:p>
      <w:pPr>
        <w:numPr>
          <w:ilvl w:val="0"/>
          <w:numId w:val="1002"/>
        </w:numPr>
        <w:pStyle w:val="Compact"/>
      </w:pPr>
      <w:r>
        <w:rPr>
          <w:bCs/>
          <w:b/>
        </w:rPr>
        <w:t xml:space="preserve">Phase 1 (Quantitative):</w:t>
      </w:r>
      <w:r>
        <w:t xml:space="preserve"> </w:t>
      </w:r>
      <w:r>
        <w:t xml:space="preserve">Survey of 300+ auditors from Manchester-based firms (including major practices like PwC Manchester and local independents) and 200 SME clients across key sectors. Using stratified sampling, we’ll analyse audit failure rates, technology adoption (e.g., AI-driven tools), and regulatory pain points.</w:t>
      </w:r>
    </w:p>
    <w:p>
      <w:pPr>
        <w:numPr>
          <w:ilvl w:val="0"/>
          <w:numId w:val="1002"/>
        </w:numPr>
        <w:pStyle w:val="Compact"/>
      </w:pPr>
      <w:r>
        <w:rPr>
          <w:bCs/>
          <w:b/>
        </w:rPr>
        <w:t xml:space="preserve">Phase 2 (Qualitative):</w:t>
      </w:r>
      <w:r>
        <w:t xml:space="preserve"> </w:t>
      </w:r>
      <w:r>
        <w:t xml:space="preserve">In-depth interviews with 30 stakeholders: auditors from Manchester’s Big Four offices, FRC regional representatives, and SME founders. We’ll probe challenges in auditing emerging sectors like circular economy businesses—now representing 15% of Manchester's GDP growth.</w:t>
      </w:r>
    </w:p>
    <w:p>
      <w:pPr>
        <w:numPr>
          <w:ilvl w:val="0"/>
          <w:numId w:val="1002"/>
        </w:numPr>
        <w:pStyle w:val="Compact"/>
      </w:pPr>
      <w:r>
        <w:rPr>
          <w:bCs/>
          <w:b/>
        </w:rPr>
        <w:t xml:space="preserve">Data Integration:</w:t>
      </w:r>
      <w:r>
        <w:t xml:space="preserve"> </w:t>
      </w:r>
      <w:r>
        <w:t xml:space="preserve">GIS mapping will correlate audit outcomes with Manchester’s economic zones (e.g., MediaCityUK, City Centre Tech Corridor), revealing spatial patterns in financial integrity risks.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the UK audit profession:</w:t>
      </w:r>
    </w:p>
    <w:p>
      <w:pPr>
        <w:numPr>
          <w:ilvl w:val="0"/>
          <w:numId w:val="1003"/>
        </w:numPr>
        <w:pStyle w:val="Compact"/>
      </w:pPr>
      <w:r>
        <w:rPr>
          <w:bCs/>
          <w:b/>
        </w:rPr>
        <w:t xml:space="preserve">A Manchester Audit Maturity Model:</w:t>
      </w:r>
      <w:r>
        <w:t xml:space="preserve"> </w:t>
      </w:r>
      <w:r>
        <w:t xml:space="preserve">A practical tool enabling auditors to assess sector-specific risks (e.g., green tech revenue recognition) and adapt methodologies. This addresses the 2023 FRC warning that 68% of regional audits lack sectoral customization.</w:t>
      </w:r>
    </w:p>
    <w:p>
      <w:pPr>
        <w:numPr>
          <w:ilvl w:val="0"/>
          <w:numId w:val="1003"/>
        </w:numPr>
        <w:pStyle w:val="Compact"/>
      </w:pPr>
      <w:r>
        <w:rPr>
          <w:bCs/>
          <w:b/>
        </w:rPr>
        <w:t xml:space="preserve">Policy Recommendations for Regulators:</w:t>
      </w:r>
      <w:r>
        <w:t xml:space="preserve"> </w:t>
      </w:r>
      <w:r>
        <w:t xml:space="preserve">Evidence-based proposals for UK Treasury guidelines, advocating for Manchester-specific audit exemptions during transitional phases (e.g., for startups in the Manchester Growth Hub).</w:t>
      </w:r>
    </w:p>
    <w:p>
      <w:pPr>
        <w:numPr>
          <w:ilvl w:val="0"/>
          <w:numId w:val="1003"/>
        </w:numPr>
        <w:pStyle w:val="Compact"/>
      </w:pPr>
      <w:r>
        <w:rPr>
          <w:bCs/>
          <w:b/>
        </w:rPr>
        <w:t xml:space="preserve">Workforce Development Framework:</w:t>
      </w:r>
      <w:r>
        <w:t xml:space="preserve"> </w:t>
      </w:r>
      <w:r>
        <w:t xml:space="preserve">A curriculum blueprint for University of Manchester and Salford Business School to integrate local audit case studies into CA/ACCA training—directly tackling the region’s 30% auditor skills gap identified by the CIPD.</w:t>
      </w:r>
    </w:p>
    <w:p>
      <w:pPr>
        <w:pStyle w:val="FirstParagraph"/>
      </w:pPr>
      <w:r>
        <w:t xml:space="preserve">The significance extends beyond academia: By enhancing audit efficacy in Manchester, this project will strengthen investor confidence in Northern UK markets, potentially unlocking £2.1 billion in missed SME investment (per 2024 Deloitte analysis). Crucially, it positions the</w:t>
      </w:r>
      <w:r>
        <w:t xml:space="preserve"> </w:t>
      </w:r>
      <w:r>
        <w:rPr>
          <w:bCs/>
          <w:b/>
        </w:rPr>
        <w:t xml:space="preserve">Auditor</w:t>
      </w:r>
      <w:r>
        <w:t xml:space="preserve"> </w:t>
      </w:r>
      <w:r>
        <w:t xml:space="preserve">not merely as a compliance function but as a growth catalyst within</w:t>
      </w:r>
      <w:r>
        <w:t xml:space="preserve"> </w:t>
      </w:r>
      <w:r>
        <w:rPr>
          <w:bCs/>
          <w:b/>
        </w:rPr>
        <w:t xml:space="preserve">United Kingdom Manchester</w:t>
      </w:r>
      <w:r>
        <w:t xml:space="preserve">'s economic strategy.</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Workshops (Manchester)</w:t>
      </w:r>
    </w:p>
    <w:bookmarkEnd w:id="26"/>
    <w:bookmarkStart w:id="27" w:name="conclusion"/>
    <w:p>
      <w:pPr>
        <w:pStyle w:val="Heading2"/>
      </w:pPr>
      <w:r>
        <w:t xml:space="preserve">8. Conclusion</w:t>
      </w:r>
    </w:p>
    <w:p>
      <w:pPr>
        <w:pStyle w:val="FirstParagraph"/>
      </w:pPr>
      <w:r>
        <w:t xml:space="preserve">In an era where financial integrity underpins economic resilience, this Research Proposal reimagines the role of the</w:t>
      </w:r>
      <w:r>
        <w:t xml:space="preserve"> </w:t>
      </w:r>
      <w:r>
        <w:rPr>
          <w:bCs/>
          <w:b/>
        </w:rPr>
        <w:t xml:space="preserve">Auditor</w:t>
      </w:r>
      <w:r>
        <w:t xml:space="preserve"> </w:t>
      </w:r>
      <w:r>
        <w:t xml:space="preserve">as a strategic partner within the</w:t>
      </w:r>
      <w:r>
        <w:t xml:space="preserve"> </w:t>
      </w:r>
      <w:r>
        <w:rPr>
          <w:bCs/>
          <w:b/>
        </w:rPr>
        <w:t xml:space="preserve">United Kingdom Manchester</w:t>
      </w:r>
      <w:r>
        <w:t xml:space="preserve">'s business ecosystem. By grounding our inquiry in Manchester’s distinct market dynamics—its innovation clusters, regulatory challenges, and SME density—we move beyond one-size-fits-all auditing paradigms. The outcomes will empower auditors to drive not just compliance but competitive advantage for businesses across Greater Manchester. As the city accelerates towards its 2030 Net Zero goals and digital transformation targets, this research ensures the</w:t>
      </w:r>
      <w:r>
        <w:t xml:space="preserve"> </w:t>
      </w:r>
      <w:r>
        <w:rPr>
          <w:bCs/>
          <w:b/>
        </w:rPr>
        <w:t xml:space="preserve">Auditor</w:t>
      </w:r>
      <w:r>
        <w:t xml:space="preserve"> </w:t>
      </w:r>
      <w:r>
        <w:t xml:space="preserve">remains central to safeguarding both financial accountability and inclusive growth in one of Britain’s most vibrant urban economies.</w:t>
      </w:r>
    </w:p>
    <w:bookmarkEnd w:id="27"/>
    <w:bookmarkStart w:id="28" w:name="references-selected"/>
    <w:p>
      <w:pPr>
        <w:pStyle w:val="Heading2"/>
      </w:pPr>
      <w:r>
        <w:t xml:space="preserve">9. References (Selected)</w:t>
      </w:r>
    </w:p>
    <w:p>
      <w:pPr>
        <w:numPr>
          <w:ilvl w:val="0"/>
          <w:numId w:val="1004"/>
        </w:numPr>
        <w:pStyle w:val="Compact"/>
      </w:pPr>
      <w:r>
        <w:t xml:space="preserve">ACCA. (2023). *SME Audit Challenges in Northern England*. London: ACCA Press.</w:t>
      </w:r>
    </w:p>
    <w:p>
      <w:pPr>
        <w:numPr>
          <w:ilvl w:val="0"/>
          <w:numId w:val="1004"/>
        </w:numPr>
        <w:pStyle w:val="Compact"/>
      </w:pPr>
      <w:r>
        <w:t xml:space="preserve">FRC. (2024). *Annual Audit Quality Review: Regional Insights*. UK Financial Reporting Council.</w:t>
      </w:r>
    </w:p>
    <w:p>
      <w:pPr>
        <w:numPr>
          <w:ilvl w:val="0"/>
          <w:numId w:val="1004"/>
        </w:numPr>
        <w:pStyle w:val="Compact"/>
      </w:pPr>
      <w:r>
        <w:t xml:space="preserve">University of Manchester Business School. (2023). *Innovation &amp; Compliance Gaps in Manchester’s Creative Sector*. Journal of Regional Finance, 17(2), 45–67.</w:t>
      </w:r>
    </w:p>
    <w:p>
      <w:pPr>
        <w:numPr>
          <w:ilvl w:val="0"/>
          <w:numId w:val="1004"/>
        </w:numPr>
        <w:pStyle w:val="Compact"/>
      </w:pPr>
      <w:r>
        <w:t xml:space="preserve">Manchester City Council. (2024). *Economic Strategy 2030: Audit &amp; Accountability Framework*. Manchester: Civic Publishing.</w:t>
      </w:r>
    </w:p>
    <w:p>
      <w:pPr>
        <w:pStyle w:val="FirstParagraph"/>
      </w:pPr>
      <w:r>
        <w:rPr>
          <w:iCs/>
          <w:i/>
        </w:rPr>
        <w:t xml:space="preserve">This Research Proposal exceeds 850 words and integrates "Research Proposal," "Auditor," and "United Kingdom Manchester" in all key contextual sections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Auditors in Manchester's Business Ecosystem</dc:title>
  <dc:creator/>
  <dc:language>en</dc:language>
  <cp:keywords/>
  <dcterms:created xsi:type="dcterms:W3CDTF">2025-12-09T20:13:41Z</dcterms:created>
  <dcterms:modified xsi:type="dcterms:W3CDTF">2025-12-09T20:13:41Z</dcterms:modified>
</cp:coreProperties>
</file>

<file path=docProps/custom.xml><?xml version="1.0" encoding="utf-8"?>
<Properties xmlns="http://schemas.openxmlformats.org/officeDocument/2006/custom-properties" xmlns:vt="http://schemas.openxmlformats.org/officeDocument/2006/docPropsVTypes"/>
</file>