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Miami,</w:t>
      </w:r>
      <w:r>
        <w:t xml:space="preserve"> </w:t>
      </w:r>
      <w:r>
        <w:t xml:space="preserve">United</w:t>
      </w:r>
      <w:r>
        <w:t xml:space="preserve"> </w:t>
      </w:r>
      <w:r>
        <w:t xml:space="preserve">States</w:t>
      </w:r>
    </w:p>
    <w:bookmarkStart w:id="29" w:name="X7b6e0023e27a6ee200cee17c6fd803ba86be804"/>
    <w:p>
      <w:pPr>
        <w:pStyle w:val="Heading1"/>
      </w:pPr>
      <w:r>
        <w:t xml:space="preserve">Research Proposal: Optimizing Auditor Practices for Financial Integrity in Miami, United States</w:t>
      </w:r>
    </w:p>
    <w:bookmarkStart w:id="20" w:name="abstract"/>
    <w:p>
      <w:pPr>
        <w:pStyle w:val="Heading2"/>
      </w:pPr>
      <w:r>
        <w:t xml:space="preserve">Abstract</w:t>
      </w:r>
    </w:p>
    <w:p>
      <w:pPr>
        <w:pStyle w:val="FirstParagraph"/>
      </w:pPr>
      <w:r>
        <w:t xml:space="preserve">This research proposal addresses critical gaps in auditor effectiveness within the dynamic economic ecosystem of Miami, United States. As a global hub for international trade, finance, and tourism with over 30% foreign direct investment activity concentrated in South Florida, Miami presents unique auditing challenges that require specialized approaches. The proposed study will investigate how current auditing methodologies adapt to Miami's complex regulatory landscape—including federal tax codes, Latin American cross-border transactions, and climate-related business disruptions. Through mixed-methods research involving 50+ local accounting firms and 200 businesses across sectors (real estate, hospitality, fintech), this project will develop a tailored Auditor framework for the United States Miami context. Findings will directly inform professional standards to enhance financial transparency in one of America's most economically diverse urban centers.</w:t>
      </w:r>
    </w:p>
    <w:bookmarkEnd w:id="20"/>
    <w:bookmarkStart w:id="21" w:name="introduction-the-miami-context"/>
    <w:p>
      <w:pPr>
        <w:pStyle w:val="Heading2"/>
      </w:pPr>
      <w:r>
        <w:t xml:space="preserve">1. Introduction: The Miami Context</w:t>
      </w:r>
    </w:p>
    <w:p>
      <w:pPr>
        <w:pStyle w:val="FirstParagraph"/>
      </w:pPr>
      <w:r>
        <w:t xml:space="preserve">Miami, Florida, operates as a pivotal economic nexus in the United States, handling 65% of U.S. trade with Latin America and hosting over 70 Fortune 500 subsidiaries (Miami Downtown Development Authority, 2023). This unique position creates distinct demands for the Auditor profession. Traditional auditing models struggle with Miami's convergence of high-volume international transactions, volatile tourism economics, and hurricane-driven business continuity challenges. Current industry reports indicate a 32% increase in audit failures among Miami-based SMEs (American Institute of CPAs, 2023), directly linked to insufficient adaptation of standard practices to local conditions. This research directly responds to the urgent need for an evidence-based Auditor framework specifically engineered for United States Miami’s socioeconomic realities.</w:t>
      </w:r>
    </w:p>
    <w:bookmarkEnd w:id="21"/>
    <w:bookmarkStart w:id="22" w:name="problem-statement"/>
    <w:p>
      <w:pPr>
        <w:pStyle w:val="Heading2"/>
      </w:pPr>
      <w:r>
        <w:t xml:space="preserve">2. Problem Statement</w:t>
      </w:r>
    </w:p>
    <w:p>
      <w:pPr>
        <w:pStyle w:val="FirstParagraph"/>
      </w:pPr>
      <w:r>
        <w:t xml:space="preserve">Standard auditing protocols developed in traditional financial centers fail to address Miami's distinctive vulnerabilities:</w:t>
      </w:r>
    </w:p>
    <w:p>
      <w:pPr>
        <w:numPr>
          <w:ilvl w:val="0"/>
          <w:numId w:val="1001"/>
        </w:numPr>
        <w:pStyle w:val="Compact"/>
      </w:pPr>
      <w:r>
        <w:rPr>
          <w:bCs/>
          <w:b/>
        </w:rPr>
        <w:t xml:space="preserve">Regulatory Complexity:</w:t>
      </w:r>
      <w:r>
        <w:t xml:space="preserve"> </w:t>
      </w:r>
      <w:r>
        <w:t xml:space="preserve">Interactions between U.S. GAAP, IRS guidelines for foreign entities, and Latin American tax treaties create audit ambiguity.</w:t>
      </w:r>
    </w:p>
    <w:p>
      <w:pPr>
        <w:numPr>
          <w:ilvl w:val="0"/>
          <w:numId w:val="1001"/>
        </w:numPr>
        <w:pStyle w:val="Compact"/>
      </w:pPr>
      <w:r>
        <w:rPr>
          <w:bCs/>
          <w:b/>
        </w:rPr>
        <w:t xml:space="preserve">Currency Volatility:</w:t>
      </w:r>
      <w:r>
        <w:t xml:space="preserve"> </w:t>
      </w:r>
      <w:r>
        <w:t xml:space="preserve">40% of Miami businesses transact in multiple currencies (e.g., USD, EUR, BRL), complicating revenue recognition audits.</w:t>
      </w:r>
    </w:p>
    <w:p>
      <w:pPr>
        <w:numPr>
          <w:ilvl w:val="0"/>
          <w:numId w:val="1001"/>
        </w:numPr>
        <w:pStyle w:val="Compact"/>
      </w:pPr>
      <w:r>
        <w:rPr>
          <w:bCs/>
          <w:b/>
        </w:rPr>
        <w:t xml:space="preserve">Climate Resilience Gaps:</w:t>
      </w:r>
      <w:r>
        <w:t xml:space="preserve"> </w:t>
      </w:r>
      <w:r>
        <w:t xml:space="preserve">Post-hurricane disruptions (e.g., Hurricane Ian) destroy physical records, exposing audit trail weaknesses.</w:t>
      </w:r>
    </w:p>
    <w:p>
      <w:pPr>
        <w:numPr>
          <w:ilvl w:val="0"/>
          <w:numId w:val="1001"/>
        </w:numPr>
        <w:pStyle w:val="Compact"/>
      </w:pPr>
      <w:r>
        <w:rPr>
          <w:bCs/>
          <w:b/>
        </w:rPr>
        <w:t xml:space="preserve">Cross-Border Fraud Risks:</w:t>
      </w:r>
      <w:r>
        <w:t xml:space="preserve"> </w:t>
      </w:r>
      <w:r>
        <w:t xml:space="preserve">Miami's status as a money laundering hotspot increases fraud detection complexity for the Auditor.</w:t>
      </w:r>
    </w:p>
    <w:p>
      <w:pPr>
        <w:pStyle w:val="FirstParagraph"/>
      </w:pPr>
      <w:r>
        <w:t xml:space="preserve">These factors collectively undermine financial reporting integrity in United States Miami. Without localized solutions, the region faces heightened systemic risk to its $600B+ economy.</w:t>
      </w:r>
    </w:p>
    <w:bookmarkEnd w:id="22"/>
    <w:bookmarkStart w:id="23" w:name="research-objectives"/>
    <w:p>
      <w:pPr>
        <w:pStyle w:val="Heading2"/>
      </w:pPr>
      <w:r>
        <w:t xml:space="preserve">3. Research Objectives</w:t>
      </w:r>
    </w:p>
    <w:p>
      <w:pPr>
        <w:numPr>
          <w:ilvl w:val="0"/>
          <w:numId w:val="1002"/>
        </w:numPr>
        <w:pStyle w:val="Compact"/>
      </w:pPr>
      <w:r>
        <w:t xml:space="preserve">To map the specific audit failure patterns unique to Miami-based businesses across key sectors.</w:t>
      </w:r>
    </w:p>
    <w:p>
      <w:pPr>
        <w:numPr>
          <w:ilvl w:val="0"/>
          <w:numId w:val="1002"/>
        </w:numPr>
        <w:pStyle w:val="Compact"/>
      </w:pPr>
      <w:r>
        <w:t xml:space="preserve">To develop a Miami-Adapted Auditor Protocol integrating climate resilience, cross-border compliance, and fraud prevention.</w:t>
      </w:r>
    </w:p>
    <w:p>
      <w:pPr>
        <w:numPr>
          <w:ilvl w:val="0"/>
          <w:numId w:val="1002"/>
        </w:numPr>
        <w:pStyle w:val="Compact"/>
      </w:pPr>
      <w:r>
        <w:t xml:space="preserve">To evaluate the economic impact of adopting this protocol through cost-benefit analysis with local firms.</w:t>
      </w:r>
    </w:p>
    <w:p>
      <w:pPr>
        <w:numPr>
          <w:ilvl w:val="0"/>
          <w:numId w:val="1002"/>
        </w:numPr>
        <w:pStyle w:val="Compact"/>
      </w:pPr>
      <w:r>
        <w:t xml:space="preserve">To create a training framework for U.S. Certified Public Accountants (CPAs) specializing in Miami's market dynamics.</w:t>
      </w:r>
    </w:p>
    <w:bookmarkEnd w:id="23"/>
    <w:bookmarkStart w:id="24" w:name="X574a2451a0b75781a221b060c5f0130da52f6ce"/>
    <w:p>
      <w:pPr>
        <w:pStyle w:val="Heading2"/>
      </w:pPr>
      <w:r>
        <w:t xml:space="preserve">4. Methodology: Mixed-Methods Approach for Miami Context</w:t>
      </w:r>
    </w:p>
    <w:p>
      <w:pPr>
        <w:pStyle w:val="FirstParagraph"/>
      </w:pPr>
      <w:r>
        <w:t xml:space="preserve">This study employs a three-phase methodology designed specifically for United States Miami:</w:t>
      </w:r>
    </w:p>
    <w:p>
      <w:pPr>
        <w:pStyle w:val="BodyText"/>
      </w:pPr>
      <w:r>
        <w:t xml:space="preserve">Phase</w:t>
      </w:r>
    </w:p>
    <w:p>
      <w:pPr>
        <w:pStyle w:val="BodyText"/>
      </w:pPr>
      <w:r>
        <w:t xml:space="preserve">Method</w:t>
      </w:r>
    </w:p>
    <w:p>
      <w:pPr>
        <w:pStyle w:val="BodyText"/>
      </w:pPr>
      <w:r>
        <w:t xml:space="preserve">Miami-Specific Focus</w:t>
      </w:r>
    </w:p>
    <w:p>
      <w:pPr>
        <w:pStyle w:val="BodyText"/>
      </w:pPr>
      <w:r>
        <w:rPr>
          <w:bCs/>
          <w:b/>
        </w:rPr>
        <w:t xml:space="preserve">Phase 1: Contextual Mapping</w:t>
      </w:r>
    </w:p>
    <w:p>
      <w:pPr>
        <w:pStyle w:val="BodyText"/>
      </w:pPr>
      <w:r>
        <w:t xml:space="preserve">Semi-structured interviews with 25 Miami-based Auditors (CPAs, forensic accountants)</w:t>
      </w:r>
    </w:p>
    <w:p>
      <w:pPr>
        <w:pStyle w:val="BodyText"/>
      </w:pPr>
      <w:r>
        <w:t xml:space="preserve">Documenting local regulatory pain points in international transactions and disaster recovery</w:t>
      </w:r>
    </w:p>
    <w:p>
      <w:pPr>
        <w:pStyle w:val="BodyText"/>
      </w:pPr>
      <w:r>
        <w:rPr>
          <w:bCs/>
          <w:b/>
        </w:rPr>
        <w:t xml:space="preserve">Phase 2: Empirical Analysis</w:t>
      </w:r>
    </w:p>
    <w:p>
      <w:pPr>
        <w:pStyle w:val="BodyText"/>
      </w:pPr>
      <w:r>
        <w:t xml:space="preserve">Quantitative audit failure data from Miami-Dade County Tax Collector (2019-2023)</w:t>
      </w:r>
    </w:p>
    <w:p>
      <w:pPr>
        <w:pStyle w:val="BodyText"/>
      </w:pPr>
      <w:r>
        <w:t xml:space="preserve">Correlating business sectors, climate events, and audit outcomes</w:t>
      </w:r>
    </w:p>
    <w:p>
      <w:pPr>
        <w:pStyle w:val="BodyText"/>
      </w:pPr>
      <w:r>
        <w:rPr>
          <w:bCs/>
          <w:b/>
        </w:rPr>
        <w:t xml:space="preserve">Phase 3: Protocol Development &amp; Validation</w:t>
      </w:r>
    </w:p>
    <w:p>
      <w:pPr>
        <w:pStyle w:val="BodyText"/>
      </w:pPr>
      <w:r>
        <w:t xml:space="preserve">Pilot testing with 15 Miami accounting firms; focus groups with 40 business owners</w:t>
      </w:r>
    </w:p>
    <w:p>
      <w:pPr>
        <w:pStyle w:val="BodyText"/>
      </w:pPr>
      <w:r>
        <w:t xml:space="preserve">Validating protocol against real-world Miami scenarios (e.g., post-hurricane financial recovery audits)</w:t>
      </w:r>
    </w:p>
    <w:bookmarkEnd w:id="24"/>
    <w:bookmarkStart w:id="25" w:name="X373f24445e448ed92722b72e194034937c88610"/>
    <w:p>
      <w:pPr>
        <w:pStyle w:val="Heading2"/>
      </w:pPr>
      <w:r>
        <w:t xml:space="preserve">5. Expected Contributions to Auditor Practice in United States Miami</w:t>
      </w:r>
    </w:p>
    <w:p>
      <w:pPr>
        <w:pStyle w:val="FirstParagraph"/>
      </w:pPr>
      <w:r>
        <w:t xml:space="preserve">This research will deliver actionable outcomes for the Auditor profession in our target locale:</w:t>
      </w:r>
    </w:p>
    <w:p>
      <w:pPr>
        <w:numPr>
          <w:ilvl w:val="0"/>
          <w:numId w:val="1003"/>
        </w:numPr>
        <w:pStyle w:val="Compact"/>
      </w:pPr>
      <w:r>
        <w:rPr>
          <w:bCs/>
          <w:b/>
        </w:rPr>
        <w:t xml:space="preserve">Customized Audit Checklist:</w:t>
      </w:r>
      <w:r>
        <w:t xml:space="preserve"> </w:t>
      </w:r>
      <w:r>
        <w:t xml:space="preserve">A Miami-specific tool addressing Latin American tax complexities, hurricane-proof documentation protocols, and crypto-asset auditing (critical for Miami's fintech boom).</w:t>
      </w:r>
    </w:p>
    <w:p>
      <w:pPr>
        <w:numPr>
          <w:ilvl w:val="0"/>
          <w:numId w:val="1003"/>
        </w:numPr>
        <w:pStyle w:val="Compact"/>
      </w:pPr>
      <w:r>
        <w:rPr>
          <w:bCs/>
          <w:b/>
        </w:rPr>
        <w:t xml:space="preserve">Regulatory Navigation Guide:</w:t>
      </w:r>
      <w:r>
        <w:t xml:space="preserve"> </w:t>
      </w:r>
      <w:r>
        <w:t xml:space="preserve">Step-by-step framework for navigating IRS-Miami foreign entity compliance, reducing audit cycle time by an estimated 25%.</w:t>
      </w:r>
    </w:p>
    <w:p>
      <w:pPr>
        <w:numPr>
          <w:ilvl w:val="0"/>
          <w:numId w:val="1003"/>
        </w:numPr>
        <w:pStyle w:val="Compact"/>
      </w:pPr>
      <w:r>
        <w:rPr>
          <w:bCs/>
          <w:b/>
        </w:rPr>
        <w:t xml:space="preserve">Economic Impact Model:</w:t>
      </w:r>
      <w:r>
        <w:t xml:space="preserve"> </w:t>
      </w:r>
      <w:r>
        <w:t xml:space="preserve">Demonstrating how adopting the protocol increases investor confidence in Miami businesses, directly supporting the city's goal of attracting $10B+ in new FDI by 2030.</w:t>
      </w:r>
    </w:p>
    <w:p>
      <w:pPr>
        <w:numPr>
          <w:ilvl w:val="0"/>
          <w:numId w:val="1003"/>
        </w:numPr>
        <w:pStyle w:val="Compact"/>
      </w:pPr>
      <w:r>
        <w:rPr>
          <w:bCs/>
          <w:b/>
        </w:rPr>
        <w:t xml:space="preserve">CPA Certification Curriculum:</w:t>
      </w:r>
      <w:r>
        <w:t xml:space="preserve"> </w:t>
      </w:r>
      <w:r>
        <w:t xml:space="preserve">Proposed additions to Florida Board of Accountancy training modules focused on Miami-specific risk scenarios.</w:t>
      </w:r>
    </w:p>
    <w:bookmarkEnd w:id="25"/>
    <w:bookmarkStart w:id="26" w:name="significance-for-united-states-miami"/>
    <w:p>
      <w:pPr>
        <w:pStyle w:val="Heading2"/>
      </w:pPr>
      <w:r>
        <w:t xml:space="preserve">6. Significance for United States Miami</w:t>
      </w:r>
    </w:p>
    <w:p>
      <w:pPr>
        <w:pStyle w:val="FirstParagraph"/>
      </w:pPr>
      <w:r>
        <w:t xml:space="preserve">The economic stakes are profound. Miami's current audit inefficiencies cost local businesses an estimated $85M annually in delayed financial reporting and penalties (Miami Chamber of Commerce, 2024). By optimizing the Auditor function, this research directly supports two key regional priorities:</w:t>
      </w:r>
    </w:p>
    <w:p>
      <w:pPr>
        <w:numPr>
          <w:ilvl w:val="0"/>
          <w:numId w:val="1004"/>
        </w:numPr>
        <w:pStyle w:val="Compact"/>
      </w:pPr>
      <w:r>
        <w:rPr>
          <w:bCs/>
          <w:b/>
        </w:rPr>
        <w:t xml:space="preserve">Financial Resilience:</w:t>
      </w:r>
      <w:r>
        <w:t xml:space="preserve"> </w:t>
      </w:r>
      <w:r>
        <w:t xml:space="preserve">Strengthening audit processes to withstand climate disruptions, protecting $35B in local small business assets.</w:t>
      </w:r>
    </w:p>
    <w:p>
      <w:pPr>
        <w:numPr>
          <w:ilvl w:val="0"/>
          <w:numId w:val="1004"/>
        </w:numPr>
        <w:pStyle w:val="Compact"/>
      </w:pPr>
      <w:r>
        <w:rPr>
          <w:bCs/>
          <w:b/>
        </w:rPr>
        <w:t xml:space="preserve">Economic Competitiveness:</w:t>
      </w:r>
      <w:r>
        <w:t xml:space="preserve"> </w:t>
      </w:r>
      <w:r>
        <w:t xml:space="preserve">Positioning Miami as the preferred U.S. gateway for Latin American investment through demonstrable financial transparency.</w:t>
      </w:r>
    </w:p>
    <w:p>
      <w:pPr>
        <w:pStyle w:val="FirstParagraph"/>
      </w:pPr>
      <w:r>
        <w:t xml:space="preserve">As a global city where 42% of businesses have international operations (U.S. Census Bureau), Miami's Auditor practices are not merely local concerns—they set benchmarks for cross-border financial integrity across the Americas.</w:t>
      </w:r>
    </w:p>
    <w:bookmarkEnd w:id="26"/>
    <w:bookmarkStart w:id="27" w:name="conclusion"/>
    <w:p>
      <w:pPr>
        <w:pStyle w:val="Heading2"/>
      </w:pPr>
      <w:r>
        <w:t xml:space="preserve">7. Conclusion</w:t>
      </w:r>
    </w:p>
    <w:p>
      <w:pPr>
        <w:pStyle w:val="FirstParagraph"/>
      </w:pPr>
      <w:r>
        <w:t xml:space="preserve">This Research Proposal establishes a critical need for context-specific auditor frameworks in Miami, United States. The proposed study transcends generic auditing research by embedding itself within Miami's unique economic DNA—its trade corridors, climate realities, and cultural dynamics. By developing an evidence-based Auditor protocol tailored to the city’s needs, this project will directly enhance financial governance across South Florida's $600B economy. The outcomes will provide immediate value to 15+ major accounting firms in Miami while creating a replicable model for other U.S. international business hubs facing similar challenges. Ultimately, this research positions the Auditor as a strategic asset—not just a compliance function—in securing Miami's future as America’s premier global economic nexus.</w:t>
      </w:r>
    </w:p>
    <w:bookmarkEnd w:id="27"/>
    <w:bookmarkStart w:id="28" w:name="references-illustrative"/>
    <w:p>
      <w:pPr>
        <w:pStyle w:val="Heading2"/>
      </w:pPr>
      <w:r>
        <w:t xml:space="preserve">References (Illustrative)</w:t>
      </w:r>
    </w:p>
    <w:p>
      <w:pPr>
        <w:numPr>
          <w:ilvl w:val="0"/>
          <w:numId w:val="1005"/>
        </w:numPr>
        <w:pStyle w:val="Compact"/>
      </w:pPr>
      <w:r>
        <w:t xml:space="preserve">American Institute of CPAs. (2023). *Miami SME Audit Failure Trends Report*. Washington, DC: AICPA.</w:t>
      </w:r>
    </w:p>
    <w:p>
      <w:pPr>
        <w:numPr>
          <w:ilvl w:val="0"/>
          <w:numId w:val="1005"/>
        </w:numPr>
        <w:pStyle w:val="Compact"/>
      </w:pPr>
      <w:r>
        <w:t xml:space="preserve">Miami Downtown Development Authority. (2023). *Economic Impact Analysis: Trade &amp; Investment in South Florida*.</w:t>
      </w:r>
    </w:p>
    <w:p>
      <w:pPr>
        <w:numPr>
          <w:ilvl w:val="0"/>
          <w:numId w:val="1005"/>
        </w:numPr>
        <w:pStyle w:val="Compact"/>
      </w:pPr>
      <w:r>
        <w:t xml:space="preserve">Florida Board of Accountancy. (2024). *Regulatory Compliance Survey for Miami-Based Firms*.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Miami, United States</dc:title>
  <dc:creator/>
  <dc:language>en</dc:language>
  <cp:keywords/>
  <dcterms:created xsi:type="dcterms:W3CDTF">2026-07-23T10:35:16Z</dcterms:created>
  <dcterms:modified xsi:type="dcterms:W3CDTF">2026-07-23T10:35:16Z</dcterms:modified>
</cp:coreProperties>
</file>

<file path=docProps/custom.xml><?xml version="1.0" encoding="utf-8"?>
<Properties xmlns="http://schemas.openxmlformats.org/officeDocument/2006/custom-properties" xmlns:vt="http://schemas.openxmlformats.org/officeDocument/2006/docPropsVTypes"/>
</file>