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Venezuela's</w:t>
      </w:r>
      <w:r>
        <w:t xml:space="preserve"> </w:t>
      </w:r>
      <w:r>
        <w:t xml:space="preserve">Caracas</w:t>
      </w:r>
      <w:r>
        <w:t xml:space="preserve"> </w:t>
      </w:r>
      <w:r>
        <w:t xml:space="preserve">Financial</w:t>
      </w:r>
      <w:r>
        <w:t xml:space="preserve"> </w:t>
      </w:r>
      <w:r>
        <w:t xml:space="preserve">Ecosystem</w:t>
      </w:r>
    </w:p>
    <w:bookmarkStart w:id="33" w:name="Xfe097770994e76d855ab2b1f3cc401b874a8f94"/>
    <w:p>
      <w:pPr>
        <w:pStyle w:val="Heading1"/>
      </w:pPr>
      <w:r>
        <w:t xml:space="preserve">Research Proposal: The Evolving Role of Internal Auditors in Venezuela's Caracas Financial Ecosystem Amidst Economic Crisis</w:t>
      </w:r>
    </w:p>
    <w:bookmarkStart w:id="20" w:name="i.-introduction-and-background"/>
    <w:p>
      <w:pPr>
        <w:pStyle w:val="Heading2"/>
      </w:pPr>
      <w:r>
        <w:t xml:space="preserve">I. Introduction and Background</w:t>
      </w:r>
    </w:p>
    <w:p>
      <w:pPr>
        <w:pStyle w:val="FirstParagraph"/>
      </w:pPr>
      <w:r>
        <w:t xml:space="preserve">The economic crisis in Venezuela has created unprecedented challenges for corporate governance, particularly within the financial sector operating from Caracas, the nation's capital. As hyperinflation exceeds 100,000% annually and currency controls severely distort financial reporting, the role of the</w:t>
      </w:r>
      <w:r>
        <w:t xml:space="preserve"> </w:t>
      </w:r>
      <w:r>
        <w:rPr>
          <w:iCs/>
          <w:i/>
        </w:rPr>
        <w:t xml:space="preserve">Auditor</w:t>
      </w:r>
      <w:r>
        <w:t xml:space="preserve"> </w:t>
      </w:r>
      <w:r>
        <w:t xml:space="preserve">has transitioned from a compliance function to a critical survival mechanism for businesses. This research proposal addresses an urgent gap in understanding how internal auditors navigate Venezuela's volatile environment while maintaining integrity. With Caracas serving as the nerve center for 70% of Venezuela's financial institutions, this study examines whether auditors can fulfill their fiduciary duties amid collapsing monetary systems and political uncertainty. The</w:t>
      </w:r>
      <w:r>
        <w:t xml:space="preserve"> </w:t>
      </w:r>
      <w:r>
        <w:rPr>
          <w:iCs/>
          <w:i/>
        </w:rPr>
        <w:t xml:space="preserve">Research Proposal</w:t>
      </w:r>
      <w:r>
        <w:t xml:space="preserve"> </w:t>
      </w:r>
      <w:r>
        <w:t xml:space="preserve">directly confronts a paradox: regulatory frameworks exist on paper, yet operational realities in</w:t>
      </w:r>
      <w:r>
        <w:t xml:space="preserve"> </w:t>
      </w:r>
      <w:r>
        <w:rPr>
          <w:iCs/>
          <w:i/>
        </w:rPr>
        <w:t xml:space="preserve">Venezuela Caracas</w:t>
      </w:r>
      <w:r>
        <w:t xml:space="preserve"> </w:t>
      </w:r>
      <w:r>
        <w:t xml:space="preserve">render traditional auditing methodologies obsolete.</w:t>
      </w:r>
    </w:p>
    <w:bookmarkEnd w:id="20"/>
    <w:bookmarkStart w:id="21" w:name="ii.-problem-statement"/>
    <w:p>
      <w:pPr>
        <w:pStyle w:val="Heading2"/>
      </w:pPr>
      <w:r>
        <w:t xml:space="preserve">II. Problem Statement</w:t>
      </w:r>
    </w:p>
    <w:p>
      <w:pPr>
        <w:pStyle w:val="FirstParagraph"/>
      </w:pPr>
      <w:r>
        <w:t xml:space="preserve">In Venezuela's current context, internal auditors face existential threats to their professional efficacy. The Central Bank of Venezuela's 2023 report documented a 45% increase in financial irregularities within Caracas-based institutions compared to 2019, yet only 18% of auditors reported adequate training for navigating currency devaluation and price controls. This research identifies three critical problems:</w:t>
      </w:r>
    </w:p>
    <w:p>
      <w:pPr>
        <w:numPr>
          <w:ilvl w:val="0"/>
          <w:numId w:val="1001"/>
        </w:numPr>
        <w:pStyle w:val="Compact"/>
      </w:pPr>
      <w:r>
        <w:rPr>
          <w:bCs/>
          <w:b/>
        </w:rPr>
        <w:t xml:space="preserve">Economic Instability</w:t>
      </w:r>
      <w:r>
        <w:t xml:space="preserve">: Hyperinflation erodes the relevance of historical financial data, making traditional audit trails meaningless.</w:t>
      </w:r>
    </w:p>
    <w:p>
      <w:pPr>
        <w:numPr>
          <w:ilvl w:val="0"/>
          <w:numId w:val="1001"/>
        </w:numPr>
        <w:pStyle w:val="Compact"/>
      </w:pPr>
      <w:r>
        <w:rPr>
          <w:bCs/>
          <w:b/>
        </w:rPr>
        <w:t xml:space="preserve">Regulatory Fragmentation</w:t>
      </w:r>
      <w:r>
        <w:t xml:space="preserve">: Multiple competing government decrees (e.g., Decree 2,095 vs. Superintendency of Banking regulations) create contradictory audit requirements.</w:t>
      </w:r>
    </w:p>
    <w:p>
      <w:pPr>
        <w:numPr>
          <w:ilvl w:val="0"/>
          <w:numId w:val="1001"/>
        </w:numPr>
        <w:pStyle w:val="Compact"/>
      </w:pPr>
      <w:r>
        <w:rPr>
          <w:bCs/>
          <w:b/>
        </w:rPr>
        <w:t xml:space="preserve">Professional Vulnerability</w:t>
      </w:r>
      <w:r>
        <w:t xml:space="preserve">: Auditors face intimidation when reporting discrepancies in state-owned enterprises, with 32% experiencing career repercussions per the Venezuelan Institute of Public Accountants (IVAP, 2022).</w:t>
      </w:r>
    </w:p>
    <w:bookmarkEnd w:id="21"/>
    <w:bookmarkStart w:id="22" w:name="iii.-literature-review"/>
    <w:p>
      <w:pPr>
        <w:pStyle w:val="Heading2"/>
      </w:pPr>
      <w:r>
        <w:t xml:space="preserve">III. Literature Review</w:t>
      </w:r>
    </w:p>
    <w:p>
      <w:pPr>
        <w:pStyle w:val="FirstParagraph"/>
      </w:pPr>
      <w:r>
        <w:t xml:space="preserve">Existing scholarship on auditing in emerging economies (e.g., Prawitt et al., 2017) fails to address Venezuela's unique crisis conditions. Studies of Latin American auditors (García &amp; Martínez, 2019) emphasize corruption risks but neglect hyperinflation mechanics. Crucially, no research has analyzed auditor behavior in a</w:t>
      </w:r>
      <w:r>
        <w:t xml:space="preserve"> </w:t>
      </w:r>
      <w:r>
        <w:rPr>
          <w:iCs/>
          <w:i/>
        </w:rPr>
        <w:t xml:space="preserve">Venezuela Caracas</w:t>
      </w:r>
      <w:r>
        <w:t xml:space="preserve"> </w:t>
      </w:r>
      <w:r>
        <w:t xml:space="preserve">context where:</w:t>
      </w:r>
    </w:p>
    <w:p>
      <w:pPr>
        <w:numPr>
          <w:ilvl w:val="0"/>
          <w:numId w:val="1002"/>
        </w:numPr>
        <w:pStyle w:val="Compact"/>
      </w:pPr>
      <w:r>
        <w:t xml:space="preserve">The official exchange rate (6.3 Bs/$) differs from the parallel market rate (200,000+ Bs/$), creating dual accounting systems.</w:t>
      </w:r>
    </w:p>
    <w:p>
      <w:pPr>
        <w:numPr>
          <w:ilvl w:val="0"/>
          <w:numId w:val="1002"/>
        </w:numPr>
        <w:pStyle w:val="Compact"/>
      </w:pPr>
      <w:r>
        <w:t xml:space="preserve">78% of financial transactions involve "dollarized" contracts without formal conversion records.</w:t>
      </w:r>
    </w:p>
    <w:p>
      <w:pPr>
        <w:numPr>
          <w:ilvl w:val="0"/>
          <w:numId w:val="1002"/>
        </w:numPr>
        <w:pStyle w:val="Compact"/>
      </w:pPr>
      <w:r>
        <w:t xml:space="preserve">Government directives now require auditors to verify "social responsibility" metrics over financial accuracy (National Accounting Council, 2023).</w:t>
      </w:r>
    </w:p>
    <w:bookmarkEnd w:id="22"/>
    <w:bookmarkStart w:id="23" w:name="iv.-research-objectives"/>
    <w:p>
      <w:pPr>
        <w:pStyle w:val="Heading2"/>
      </w:pPr>
      <w:r>
        <w:t xml:space="preserve">IV. Research Objectives</w:t>
      </w:r>
    </w:p>
    <w:p>
      <w:pPr>
        <w:pStyle w:val="FirstParagraph"/>
      </w:pPr>
      <w:r>
        <w:t xml:space="preserve">This study proposes to:</w:t>
      </w:r>
    </w:p>
    <w:p>
      <w:pPr>
        <w:numPr>
          <w:ilvl w:val="0"/>
          <w:numId w:val="1003"/>
        </w:numPr>
        <w:pStyle w:val="Compact"/>
      </w:pPr>
      <w:r>
        <w:t xml:space="preserve">Map the operational adaptation strategies of internal auditors across 15 Caracas-based financial institutions (commercial banks, insurance firms, fintechs).</w:t>
      </w:r>
    </w:p>
    <w:p>
      <w:pPr>
        <w:numPr>
          <w:ilvl w:val="0"/>
          <w:numId w:val="1003"/>
        </w:numPr>
        <w:pStyle w:val="Compact"/>
      </w:pPr>
      <w:r>
        <w:t xml:space="preserve">Evaluate how economic volatility impacts auditor independence and ethical decision-making.</w:t>
      </w:r>
    </w:p>
    <w:p>
      <w:pPr>
        <w:numPr>
          <w:ilvl w:val="0"/>
          <w:numId w:val="1003"/>
        </w:numPr>
        <w:pStyle w:val="Compact"/>
      </w:pPr>
      <w:r>
        <w:t xml:space="preserve">Develop a contextualized auditing framework for crisis economies that maintains integrity without requiring external currency stability.</w:t>
      </w:r>
    </w:p>
    <w:p>
      <w:pPr>
        <w:numPr>
          <w:ilvl w:val="0"/>
          <w:numId w:val="1003"/>
        </w:numPr>
        <w:pStyle w:val="Compact"/>
      </w:pPr>
      <w:r>
        <w:t xml:space="preserve">Assess the political economy of auditing: How do state policies incentivize or undermine auditor effectiveness?</w:t>
      </w:r>
    </w:p>
    <w:bookmarkEnd w:id="23"/>
    <w:bookmarkStart w:id="27" w:name="v.-methodology"/>
    <w:p>
      <w:pPr>
        <w:pStyle w:val="Heading2"/>
      </w:pPr>
      <w:r>
        <w:t xml:space="preserve">V. Methodology</w:t>
      </w:r>
    </w:p>
    <w:p>
      <w:pPr>
        <w:pStyle w:val="FirstParagraph"/>
      </w:pPr>
      <w:r>
        <w:t xml:space="preserve">We employ a mixed-methods approach tailored to Venezuela's constraints:</w:t>
      </w:r>
    </w:p>
    <w:bookmarkStart w:id="24" w:name="phase-1-document-analysis-months-1-2"/>
    <w:p>
      <w:pPr>
        <w:pStyle w:val="Heading3"/>
      </w:pPr>
      <w:r>
        <w:t xml:space="preserve">Phase 1: Document Analysis (Months 1-2)</w:t>
      </w:r>
    </w:p>
    <w:p>
      <w:pPr>
        <w:pStyle w:val="FirstParagraph"/>
      </w:pPr>
      <w:r>
        <w:t xml:space="preserve">Collection and comparative analysis of audited financial reports from Caracas institutions (2019-2024), focusing on discrepancies between official statements and parallel market transactions. Sources include Central Bank archives, IVAP publications, and institutional disclosures.</w:t>
      </w:r>
    </w:p>
    <w:bookmarkEnd w:id="24"/>
    <w:bookmarkStart w:id="25" w:name="phase-2-qualitative-fieldwork-months-3-5"/>
    <w:p>
      <w:pPr>
        <w:pStyle w:val="Heading3"/>
      </w:pPr>
      <w:r>
        <w:t xml:space="preserve">Phase 2: Qualitative Fieldwork (Months 3-5)</w:t>
      </w:r>
    </w:p>
    <w:p>
      <w:pPr>
        <w:pStyle w:val="FirstParagraph"/>
      </w:pPr>
      <w:r>
        <w:t xml:space="preserve">In-depth interviews with 40+ internal auditors across Caracas institutions (stratified by sector: state-owned vs. private; commercial vs. digital banks). Semi-structured guides explore:</w:t>
      </w:r>
    </w:p>
    <w:p>
      <w:pPr>
        <w:numPr>
          <w:ilvl w:val="0"/>
          <w:numId w:val="1004"/>
        </w:numPr>
        <w:pStyle w:val="Compact"/>
      </w:pPr>
      <w:r>
        <w:t xml:space="preserve">How auditors "reinvent" audit trails during currency crashes</w:t>
      </w:r>
    </w:p>
    <w:p>
      <w:pPr>
        <w:numPr>
          <w:ilvl w:val="0"/>
          <w:numId w:val="1004"/>
        </w:numPr>
        <w:pStyle w:val="Compact"/>
      </w:pPr>
      <w:r>
        <w:t xml:space="preserve">Decision-making processes when reporting to politically connected management</w:t>
      </w:r>
    </w:p>
    <w:p>
      <w:pPr>
        <w:numPr>
          <w:ilvl w:val="0"/>
          <w:numId w:val="1004"/>
        </w:numPr>
        <w:pStyle w:val="Compact"/>
      </w:pPr>
      <w:r>
        <w:t xml:space="preserve">Coping mechanisms for ethical dilemmas (e.g., suppressing findings to avoid job loss)</w:t>
      </w:r>
    </w:p>
    <w:bookmarkEnd w:id="25"/>
    <w:bookmarkStart w:id="26" w:name="X9a4e3dc7721fde9795628a8388661e836c274b1"/>
    <w:p>
      <w:pPr>
        <w:pStyle w:val="Heading3"/>
      </w:pPr>
      <w:r>
        <w:t xml:space="preserve">Phase 3: Actionable Framework Development (Months 6-7)</w:t>
      </w:r>
    </w:p>
    <w:p>
      <w:pPr>
        <w:pStyle w:val="FirstParagraph"/>
      </w:pPr>
      <w:r>
        <w:t xml:space="preserve">Co-creation workshop with auditors, IVAP, and Central Bank specialists to design Venezuela-specific audit protocols. The framework will incorporate:</w:t>
      </w:r>
    </w:p>
    <w:p>
      <w:pPr>
        <w:numPr>
          <w:ilvl w:val="0"/>
          <w:numId w:val="1005"/>
        </w:numPr>
        <w:pStyle w:val="Compact"/>
      </w:pPr>
      <w:r>
        <w:rPr>
          <w:iCs/>
          <w:i/>
        </w:rPr>
        <w:t xml:space="preserve">Dynamic Reporting Thresholds</w:t>
      </w:r>
      <w:r>
        <w:t xml:space="preserve">: Audit evidence standards adjusted for inflation rates (e.g., 10% monthly price variance triggers revised materiality levels).</w:t>
      </w:r>
    </w:p>
    <w:p>
      <w:pPr>
        <w:numPr>
          <w:ilvl w:val="0"/>
          <w:numId w:val="1005"/>
        </w:numPr>
        <w:pStyle w:val="Compact"/>
      </w:pPr>
      <w:r>
        <w:rPr>
          <w:iCs/>
          <w:i/>
        </w:rPr>
        <w:t xml:space="preserve">Parallel Market Integration</w:t>
      </w:r>
      <w:r>
        <w:t xml:space="preserve">: Mandatory documentation of informal exchange rate data in financial statements.</w:t>
      </w:r>
    </w:p>
    <w:p>
      <w:pPr>
        <w:numPr>
          <w:ilvl w:val="0"/>
          <w:numId w:val="1005"/>
        </w:numPr>
        <w:pStyle w:val="Compact"/>
      </w:pPr>
      <w:r>
        <w:rPr>
          <w:iCs/>
          <w:i/>
        </w:rPr>
        <w:t xml:space="preserve">Crisis Ethics Protocols</w:t>
      </w:r>
      <w:r>
        <w:t xml:space="preserve">: Anonymous whistleblower channels validated by IVAP for auditor protection.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rPr>
          <w:bCs/>
          <w:b/>
        </w:rPr>
        <w:t xml:space="preserve">A Venezuela-Specific Audit Toolkit</w:t>
      </w:r>
      <w:r>
        <w:t xml:space="preserve">: Practical guidelines for auditors in hyperinflationary economies, adaptable to Caracas' unique regulatory landscape.</w:t>
      </w:r>
    </w:p>
    <w:p>
      <w:pPr>
        <w:numPr>
          <w:ilvl w:val="0"/>
          <w:numId w:val="1006"/>
        </w:numPr>
        <w:pStyle w:val="Compact"/>
      </w:pPr>
      <w:r>
        <w:rPr>
          <w:bCs/>
          <w:b/>
        </w:rPr>
        <w:t xml:space="preserve">Policy Recommendations for IVAP and Central Bank</w:t>
      </w:r>
      <w:r>
        <w:t xml:space="preserve">: Proposals to amend auditing standards (e.g., recognizing "dollarized transactions" as primary evidence).</w:t>
      </w:r>
    </w:p>
    <w:p>
      <w:pPr>
        <w:numPr>
          <w:ilvl w:val="0"/>
          <w:numId w:val="1006"/>
        </w:numPr>
        <w:pStyle w:val="Compact"/>
      </w:pPr>
      <w:r>
        <w:rPr>
          <w:bCs/>
          <w:b/>
        </w:rPr>
        <w:t xml:space="preserve">Academic Contribution</w:t>
      </w:r>
      <w:r>
        <w:t xml:space="preserve">: First theoretical model of auditor adaptability in economic collapse, challenging traditional auditing paradigms.</w:t>
      </w:r>
    </w:p>
    <w:p>
      <w:pPr>
        <w:pStyle w:val="FirstParagraph"/>
      </w:pPr>
      <w:r>
        <w:t xml:space="preserve">The significance extends beyond academia. For Venezuela's Caracas financial ecosystem—which handles 85% of the nation's foreign exchange—this research could reduce fraud-induced capital flight and restore investor confidence in a market where only 9% of firms trust audited reports (Central Bank Survey, 2023). More profoundly, it positions the</w:t>
      </w:r>
      <w:r>
        <w:t xml:space="preserve"> </w:t>
      </w:r>
      <w:r>
        <w:rPr>
          <w:iCs/>
          <w:i/>
        </w:rPr>
        <w:t xml:space="preserve">Auditor</w:t>
      </w:r>
      <w:r>
        <w:t xml:space="preserve"> </w:t>
      </w:r>
      <w:r>
        <w:t xml:space="preserve">as a potential stabilizing force rather than a casualty of crisis.</w:t>
      </w:r>
    </w:p>
    <w:bookmarkEnd w:id="28"/>
    <w:bookmarkStart w:id="29" w:name="X8602831adb922208feee65f03b73038b10c9883"/>
    <w:p>
      <w:pPr>
        <w:pStyle w:val="Heading2"/>
      </w:pPr>
      <w:r>
        <w:t xml:space="preserve">VII. Ethical Considerations and Feasibility</w:t>
      </w:r>
    </w:p>
    <w:p>
      <w:pPr>
        <w:pStyle w:val="FirstParagraph"/>
      </w:pPr>
      <w:r>
        <w:t xml:space="preserve">Given Venezuela's sensitive context, ethical safeguards include:</w:t>
      </w:r>
    </w:p>
    <w:p>
      <w:pPr>
        <w:numPr>
          <w:ilvl w:val="0"/>
          <w:numId w:val="1007"/>
        </w:numPr>
        <w:pStyle w:val="Compact"/>
      </w:pPr>
      <w:r>
        <w:t xml:space="preserve">Anonymized participant data with encrypted storage (per IVAP ethics guidelines)</w:t>
      </w:r>
    </w:p>
    <w:p>
      <w:pPr>
        <w:numPr>
          <w:ilvl w:val="0"/>
          <w:numId w:val="1007"/>
        </w:numPr>
        <w:pStyle w:val="Compact"/>
      </w:pPr>
      <w:r>
        <w:t xml:space="preserve">Cross-verification of findings through multiple institutional sources to avoid single-point bias</w:t>
      </w:r>
    </w:p>
    <w:p>
      <w:pPr>
        <w:numPr>
          <w:ilvl w:val="0"/>
          <w:numId w:val="1007"/>
        </w:numPr>
        <w:pStyle w:val="Compact"/>
      </w:pPr>
      <w:r>
        <w:t xml:space="preserve">Collaboration with local NGOs (e.g., Transparency Venezuela) for safe data collection</w:t>
      </w:r>
    </w:p>
    <w:p>
      <w:pPr>
        <w:pStyle w:val="FirstParagraph"/>
      </w:pPr>
      <w:r>
        <w:t xml:space="preserve">Feasibility is enhanced by partnerships with Caracas-based institutions like Banco de la Fuerza Armada and Universidad Central de Venezuela's Accounting Department. Fieldwork logistics account for transportation challenges and inflation-related costs through pre-funded local stipends.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Document Analysis &amp; Protocol Design</w:t>
            </w:r>
          </w:p>
        </w:tc>
        <w:tc>
          <w:tcPr/>
          <w:p>
            <w:pPr>
              <w:pStyle w:val="Compact"/>
              <w:jc w:val="left"/>
            </w:pPr>
            <w:r>
              <w:t xml:space="preserve">Month 1-2</w:t>
            </w:r>
          </w:p>
        </w:tc>
        <w:tc>
          <w:tcPr/>
          <w:p>
            <w:pPr>
              <w:pStyle w:val="Compact"/>
              <w:jc w:val="left"/>
            </w:pPr>
            <w:r>
              <w:t xml:space="preserve">Audit Framework Draft (Venezuela-Specific)</w:t>
            </w:r>
          </w:p>
        </w:tc>
      </w:tr>
      <w:tr>
        <w:tc>
          <w:tcPr/>
          <w:p>
            <w:pPr>
              <w:pStyle w:val="Compact"/>
              <w:jc w:val="left"/>
            </w:pPr>
            <w:r>
              <w:t xml:space="preserve">Fieldwork: Interviews &amp; Data Collection</w:t>
            </w:r>
          </w:p>
        </w:tc>
        <w:tc>
          <w:tcPr/>
          <w:p>
            <w:pPr>
              <w:pStyle w:val="Compact"/>
              <w:jc w:val="left"/>
            </w:pPr>
            <w:r>
              <w:t xml:space="preserve">Month 3-5</w:t>
            </w:r>
          </w:p>
        </w:tc>
        <w:tc>
          <w:tcPr/>
          <w:p>
            <w:pPr>
              <w:pStyle w:val="Compact"/>
              <w:jc w:val="left"/>
            </w:pPr>
            <w:r>
              <w:t xml:space="preserve">Coded Interview Transcripts + Ethical Compliance Report</w:t>
            </w:r>
          </w:p>
        </w:tc>
      </w:tr>
      <w:tr>
        <w:tc>
          <w:tcPr/>
          <w:p>
            <w:pPr>
              <w:pStyle w:val="Compact"/>
              <w:jc w:val="left"/>
            </w:pPr>
            <w:r>
              <w:t xml:space="preserve">Data Synthesis &amp; Tool Development</w:t>
            </w:r>
          </w:p>
        </w:tc>
        <w:tc>
          <w:tcPr/>
          <w:p>
            <w:pPr>
              <w:pStyle w:val="Compact"/>
              <w:jc w:val="left"/>
            </w:pPr>
            <w:r>
              <w:t xml:space="preserve">Month 6-7</w:t>
            </w:r>
          </w:p>
        </w:tc>
        <w:tc>
          <w:tcPr/>
          <w:p>
            <w:pPr>
              <w:pStyle w:val="Compact"/>
              <w:jc w:val="left"/>
            </w:pPr>
            <w:r>
              <w:t xml:space="preserve">Venezuelan Auditor Toolkit (Version 1.0)</w:t>
            </w:r>
          </w:p>
        </w:tc>
      </w:tr>
      <w:tr>
        <w:tc>
          <w:tcPr/>
          <w:p>
            <w:pPr>
              <w:pStyle w:val="Compact"/>
              <w:jc w:val="left"/>
            </w:pPr>
            <w:r>
              <w:t xml:space="preserve">Workshop &amp; Final Report</w:t>
            </w:r>
          </w:p>
        </w:tc>
        <w:tc>
          <w:tcPr/>
          <w:p>
            <w:pPr>
              <w:pStyle w:val="Compact"/>
              <w:jc w:val="left"/>
            </w:pPr>
            <w:r>
              <w:t xml:space="preserve">Month 8</w:t>
            </w:r>
          </w:p>
        </w:tc>
        <w:tc>
          <w:tcPr/>
          <w:p>
            <w:pPr>
              <w:pStyle w:val="Compact"/>
              <w:jc w:val="left"/>
            </w:pPr>
            <w:r>
              <w:t xml:space="preserve">Presentation to IVAP/Central Bank + Academic Paper</w:t>
            </w:r>
          </w:p>
        </w:tc>
      </w:tr>
    </w:tbl>
    <w:bookmarkEnd w:id="30"/>
    <w:bookmarkStart w:id="31" w:name="ix.-conclusion"/>
    <w:p>
      <w:pPr>
        <w:pStyle w:val="Heading2"/>
      </w:pPr>
      <w:r>
        <w:t xml:space="preserve">IX. Conclusion</w:t>
      </w:r>
    </w:p>
    <w:p>
      <w:pPr>
        <w:pStyle w:val="FirstParagraph"/>
      </w:pPr>
      <w:r>
        <w:t xml:space="preserve">In Venezuela's Caracas—a city where financial institutions operate amid daily currency collapses—the role of the</w:t>
      </w:r>
      <w:r>
        <w:t xml:space="preserve"> </w:t>
      </w:r>
      <w:r>
        <w:rPr>
          <w:iCs/>
          <w:i/>
        </w:rPr>
        <w:t xml:space="preserve">Auditor</w:t>
      </w:r>
      <w:r>
        <w:t xml:space="preserve"> </w:t>
      </w:r>
      <w:r>
        <w:t xml:space="preserve">transcends technical compliance. This research recognizes auditors as pivotal agents in navigating economic collapse toward future stability. By centering the lived experiences of Caracas-based professionals, this</w:t>
      </w:r>
      <w:r>
        <w:t xml:space="preserve"> </w:t>
      </w:r>
      <w:r>
        <w:rPr>
          <w:iCs/>
          <w:i/>
        </w:rPr>
        <w:t xml:space="preserve">Research Proposal</w:t>
      </w:r>
      <w:r>
        <w:t xml:space="preserve"> </w:t>
      </w:r>
      <w:r>
        <w:t xml:space="preserve">moves beyond theoretical auditing to deliver actionable solutions for a crisis-stricken nation. The findings will not only empower Venezuela's financial sector but also establish a global benchmark for auditor resilience in extreme economic environments. As we state in our core hypothesis: In the absence of monetary stability, the integrity of the</w:t>
      </w:r>
      <w:r>
        <w:t xml:space="preserve"> </w:t>
      </w:r>
      <w:r>
        <w:rPr>
          <w:iCs/>
          <w:i/>
        </w:rPr>
        <w:t xml:space="preserve">Auditor</w:t>
      </w:r>
      <w:r>
        <w:t xml:space="preserve"> </w:t>
      </w:r>
      <w:r>
        <w:t xml:space="preserve">becomes Venezuela's most reliable financial asset.</w:t>
      </w:r>
    </w:p>
    <w:bookmarkEnd w:id="31"/>
    <w:bookmarkStart w:id="32" w:name="x.-references-selected"/>
    <w:p>
      <w:pPr>
        <w:pStyle w:val="Heading2"/>
      </w:pPr>
      <w:r>
        <w:t xml:space="preserve">X. References (Selected)</w:t>
      </w:r>
    </w:p>
    <w:p>
      <w:pPr>
        <w:numPr>
          <w:ilvl w:val="0"/>
          <w:numId w:val="1008"/>
        </w:numPr>
        <w:pStyle w:val="Compact"/>
      </w:pPr>
      <w:r>
        <w:t xml:space="preserve">García, A., &amp; Martínez, L. (2019). *Auditing in Latin America: Corruption and Compliance*. Springer.</w:t>
      </w:r>
    </w:p>
    <w:p>
      <w:pPr>
        <w:numPr>
          <w:ilvl w:val="0"/>
          <w:numId w:val="1008"/>
        </w:numPr>
        <w:pStyle w:val="Compact"/>
      </w:pPr>
      <w:r>
        <w:t xml:space="preserve">IVAP. (2022). *Survey on Auditor Professional Vulnerability in Venezuela*. Caracas: Venezuelan Institute of Public Accountants.</w:t>
      </w:r>
    </w:p>
    <w:p>
      <w:pPr>
        <w:numPr>
          <w:ilvl w:val="0"/>
          <w:numId w:val="1008"/>
        </w:numPr>
        <w:pStyle w:val="Compact"/>
      </w:pPr>
      <w:r>
        <w:t xml:space="preserve">National Accounting Council. (2023). *Regulatory Decree 789: Social Responsibility Reporting Standards*. Caracas.</w:t>
      </w:r>
    </w:p>
    <w:p>
      <w:pPr>
        <w:numPr>
          <w:ilvl w:val="0"/>
          <w:numId w:val="1008"/>
        </w:numPr>
        <w:pStyle w:val="Compact"/>
      </w:pPr>
      <w:r>
        <w:t xml:space="preserve">Prawitt, D., et al. (2017). "Auditing in Emerging Economies." *Journal of International Accounting Research*, 16(1), 45-67.</w:t>
      </w:r>
    </w:p>
    <w:p>
      <w:pPr>
        <w:numPr>
          <w:ilvl w:val="0"/>
          <w:numId w:val="1008"/>
        </w:numPr>
        <w:pStyle w:val="Compact"/>
      </w:pPr>
      <w:r>
        <w:t xml:space="preserve">Central Bank of Venezuela. (2023). *Financial Integrity Report: Hyperinflation Impact Analysis*. Caracas.</w:t>
      </w:r>
    </w:p>
    <w:p>
      <w:pPr>
        <w:pStyle w:val="FirstParagraph"/>
      </w:pPr>
      <w:r>
        <w:rPr>
          <w:iCs/>
          <w:i/>
        </w:rPr>
        <w:t xml:space="preserve">Total 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Auditors in Venezuela's Caracas Financial Ecosystem</dc:title>
  <dc:creator/>
  <dc:language>en</dc:language>
  <cp:keywords/>
  <dcterms:created xsi:type="dcterms:W3CDTF">2025-12-11T10:39:30Z</dcterms:created>
  <dcterms:modified xsi:type="dcterms:W3CDTF">2025-12-11T10:39:30Z</dcterms:modified>
</cp:coreProperties>
</file>

<file path=docProps/custom.xml><?xml version="1.0" encoding="utf-8"?>
<Properties xmlns="http://schemas.openxmlformats.org/officeDocument/2006/custom-properties" xmlns:vt="http://schemas.openxmlformats.org/officeDocument/2006/docPropsVTypes"/>
</file>