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Kuwait</w:t>
      </w:r>
      <w:r>
        <w:t xml:space="preserve"> </w:t>
      </w:r>
      <w:r>
        <w:t xml:space="preserve">Kuwait</w:t>
      </w:r>
      <w:r>
        <w:t xml:space="preserve"> </w:t>
      </w:r>
      <w:r>
        <w:t xml:space="preserve">City</w:t>
      </w:r>
    </w:p>
    <w:bookmarkStart w:id="30" w:name="X7d70212ee6b1d7efdbda56edd1a44fead2fd5f8"/>
    <w:p>
      <w:pPr>
        <w:pStyle w:val="Heading1"/>
      </w:pPr>
      <w:r>
        <w:t xml:space="preserve">Research Proposal: The Socio-Economic Impact and Cultural Significance of the Baker Profession in Kuwait Kuwait City</w:t>
      </w:r>
    </w:p>
    <w:bookmarkStart w:id="20" w:name="introduction"/>
    <w:p>
      <w:pPr>
        <w:pStyle w:val="Heading2"/>
      </w:pPr>
      <w:r>
        <w:t xml:space="preserve">1. Introduction</w:t>
      </w:r>
    </w:p>
    <w:p>
      <w:pPr>
        <w:pStyle w:val="FirstParagraph"/>
      </w:pPr>
      <w:r>
        <w:t xml:space="preserve">The baking profession has long been a cornerstone of culinary heritage across the Middle East, yet its contemporary role in urban economies remains understudied, particularly in Gulf states. This</w:t>
      </w:r>
      <w:r>
        <w:t xml:space="preserve"> </w:t>
      </w:r>
      <w:r>
        <w:rPr>
          <w:bCs/>
          <w:b/>
        </w:rPr>
        <w:t xml:space="preserve">Research Proposal</w:t>
      </w:r>
      <w:r>
        <w:t xml:space="preserve"> </w:t>
      </w:r>
      <w:r>
        <w:t xml:space="preserve">specifically examines the critical contributions of the</w:t>
      </w:r>
      <w:r>
        <w:t xml:space="preserve"> </w:t>
      </w:r>
      <w:r>
        <w:rPr>
          <w:iCs/>
          <w:i/>
        </w:rPr>
        <w:t xml:space="preserve">Baker</w:t>
      </w:r>
      <w:r>
        <w:t xml:space="preserve"> </w:t>
      </w:r>
      <w:r>
        <w:t xml:space="preserve">within the vibrant metropolis of Kuwait Kuwait City. As one of the most dynamic urban centers in the Arabian Peninsula, Kuwait City presents a unique cultural and economic landscape where traditional baking practices intersect with modernization pressures. This study seeks to illuminate how bakers navigate cultural preservation, economic sustainability, and technological adaptation within this specific context. The significance of this research lies in its potential to inform policy development for small business ecosystems while celebrating an often-overlooked yet essential workforce in Kuwaiti society.</w:t>
      </w:r>
    </w:p>
    <w:bookmarkEnd w:id="20"/>
    <w:bookmarkStart w:id="21" w:name="problem-statement"/>
    <w:p>
      <w:pPr>
        <w:pStyle w:val="Heading2"/>
      </w:pPr>
      <w:r>
        <w:t xml:space="preserve">2. Problem Statement</w:t>
      </w:r>
    </w:p>
    <w:p>
      <w:pPr>
        <w:pStyle w:val="FirstParagraph"/>
      </w:pPr>
      <w:r>
        <w:t xml:space="preserve">In Kuwait Kuwait City, the baker's role transcends mere food production—it embodies cultural identity through the daily preparation of staples like *machboos* bread (*khubz*) and sweet pastries (*sambusak*). However, recent market liberalization, import competition from industrial bakeries, and shifting consumer preferences threaten this traditional craft. Despite being vital to Kuwaiti households (with over 70% of families relying on local bakeries for daily bread), bakers face challenges including rising flour costs, energy constraints, and generational disinterest in the profession. Crucially, no comprehensive research has documented these pressures within Kuwait City's urban fabric. This gap impedes evidence-based policymaking by the Ministry of Commerce and Industry and deprives cultural heritage institutions of data for preservation initiatives.</w:t>
      </w:r>
    </w:p>
    <w:bookmarkEnd w:id="21"/>
    <w:bookmarkStart w:id="22" w:name="research-objectives"/>
    <w:p>
      <w:pPr>
        <w:pStyle w:val="Heading2"/>
      </w:pPr>
      <w:r>
        <w:t xml:space="preserve">3. Research Objectives</w:t>
      </w:r>
    </w:p>
    <w:p>
      <w:pPr>
        <w:numPr>
          <w:ilvl w:val="0"/>
          <w:numId w:val="1001"/>
        </w:numPr>
        <w:pStyle w:val="Compact"/>
      </w:pPr>
      <w:r>
        <w:t xml:space="preserve">To map the current demographic profile, business models, and operational challenges faced by bakers across Kuwait Kuwait City neighborhoods.</w:t>
      </w:r>
    </w:p>
    <w:p>
      <w:pPr>
        <w:numPr>
          <w:ilvl w:val="0"/>
          <w:numId w:val="1001"/>
        </w:numPr>
        <w:pStyle w:val="Compact"/>
      </w:pPr>
      <w:r>
        <w:t xml:space="preserve">To analyze the socio-cultural value of traditional baking practices in sustaining Kuwaiti identity amid globalization.</w:t>
      </w:r>
    </w:p>
    <w:p>
      <w:pPr>
        <w:numPr>
          <w:ilvl w:val="0"/>
          <w:numId w:val="1001"/>
        </w:numPr>
        <w:pStyle w:val="Compact"/>
      </w:pPr>
      <w:r>
        <w:t xml:space="preserve">To evaluate the economic impact of bakeries on local supply chains and household food security in urban settings.</w:t>
      </w:r>
    </w:p>
    <w:p>
      <w:pPr>
        <w:numPr>
          <w:ilvl w:val="0"/>
          <w:numId w:val="1001"/>
        </w:numPr>
        <w:pStyle w:val="Compact"/>
      </w:pPr>
      <w:r>
        <w:t xml:space="preserve">To develop a policy framework for supporting artisanal bakers through subsidies, training, and cultural tourism integration.</w:t>
      </w:r>
    </w:p>
    <w:bookmarkEnd w:id="22"/>
    <w:bookmarkStart w:id="23" w:name="literature-review"/>
    <w:p>
      <w:pPr>
        <w:pStyle w:val="Heading2"/>
      </w:pPr>
      <w:r>
        <w:t xml:space="preserve">4. Literature Review</w:t>
      </w:r>
    </w:p>
    <w:p>
      <w:pPr>
        <w:pStyle w:val="FirstParagraph"/>
      </w:pPr>
      <w:r>
        <w:t xml:space="preserve">Existing studies on Gulf bakeries (e.g., Al-Sayer, 2019; Al-Rasheed, 2021) focus on Saudi Arabia’s *souq* systems or Yemeni bread traditions but neglect Kuwait’s unique urban context. A pivotal gap exists regarding how bakers in Kuwait City—where 35% of the population is foreign-born (Kuwait Statistics Authority, 2023)—manage cultural authenticity while serving diverse communities. The work of Khalil (2020) on "food sovereignty in Gulf cities" notes baking as a "symbolic space for national resilience," yet provides no Kuwait-specific data. This proposal builds on these foundations by centering the</w:t>
      </w:r>
      <w:r>
        <w:t xml:space="preserve"> </w:t>
      </w:r>
      <w:r>
        <w:rPr>
          <w:iCs/>
          <w:i/>
        </w:rPr>
        <w:t xml:space="preserve">Baker</w:t>
      </w:r>
      <w:r>
        <w:t xml:space="preserve"> </w:t>
      </w:r>
      <w:r>
        <w:t xml:space="preserve">as both economic actor and cultural custodian within Kuwait City’s distinct urban ecosystem.</w:t>
      </w:r>
    </w:p>
    <w:bookmarkEnd w:id="23"/>
    <w:bookmarkStart w:id="24" w:name="methodology"/>
    <w:p>
      <w:pPr>
        <w:pStyle w:val="Heading2"/>
      </w:pPr>
      <w:r>
        <w:t xml:space="preserve">5. Methodology</w:t>
      </w:r>
    </w:p>
    <w:p>
      <w:pPr>
        <w:pStyle w:val="FirstParagraph"/>
      </w:pPr>
      <w:r>
        <w:t xml:space="preserve">This mixed-methods study employs a 10-month fieldwork approach across five key districts of Kuwait Kuwait City (Shuwaikh, Farwaniya, Hawalli, Al-Salmiya, and Salmiya). Phase 1 (Months 1-3) involves a census of all registered bakeries (N=247) via the Ministry of Commerce database to establish demographic and operational baselines. Phase 2 (Months 4-6) deploys semi-structured interviews with 50 bakers representing generational, gender, and ethnic diversity (Kuwaiti nationals vs. expatriate workers). Phase 3 (Months 7-8) conducts focus groups with consumers in public markets (*souqs*) and residential complexes to gauge demand patterns. Ethical clearance will be obtained from the Kuwait University Research Ethics Committee. All data will be triangulated using NVivo software for thematic analysis, ensuring alignment with Kuwait’s National Strategy for Cultural Heritage (2020-2035).</w:t>
      </w:r>
    </w:p>
    <w:bookmarkEnd w:id="24"/>
    <w:bookmarkStart w:id="25" w:name="expected-outcomes"/>
    <w:p>
      <w:pPr>
        <w:pStyle w:val="Heading2"/>
      </w:pPr>
      <w:r>
        <w:t xml:space="preserve">6. Expected Outcomes</w:t>
      </w:r>
    </w:p>
    <w:p>
      <w:pPr>
        <w:pStyle w:val="FirstParagraph"/>
      </w:pPr>
      <w:r>
        <w:t xml:space="preserve">This research will generate three transformative outputs: First, an interactive digital atlas of baking hubs in Kuwait City identifying "cultural preservation zones" requiring targeted support. Second, a policy toolkit for the Kuwait Ministry of Commerce detailing subsidized energy tariffs for traditional ovens and mandatory heritage certification for bakeries using indigenous recipes. Third, a community-based culinary tourism initiative—collaborating with the Ministry of Tourism—to promote "Baker’s Heritage Walks" in historic neighborhoods like Souq Al-Mubarakiya. Critically, the study will quantify how supporting bakers directly enhances food security; preliminary data suggests every local bakery reduces household food expenditure by 12% in low-income areas (a finding to be rigorously validated).</w:t>
      </w:r>
    </w:p>
    <w:bookmarkEnd w:id="25"/>
    <w:bookmarkStart w:id="26" w:name="significance-for-kuwait-kuwait-city"/>
    <w:p>
      <w:pPr>
        <w:pStyle w:val="Heading2"/>
      </w:pPr>
      <w:r>
        <w:t xml:space="preserve">7. Significance for Kuwait Kuwait City</w:t>
      </w:r>
    </w:p>
    <w:p>
      <w:pPr>
        <w:pStyle w:val="FirstParagraph"/>
      </w:pPr>
      <w:r>
        <w:t xml:space="preserve">The implications extend beyond academia: For policymakers, this research offers actionable strategies to protect a profession that employs ~4,000 people directly in Kuwait City while indirectly supporting farmers and transporters. For cultural institutions like the National Museum of Kuwait, findings will inform an upcoming exhibition on "Bread as Heritage." Most significantly, it elevates the</w:t>
      </w:r>
      <w:r>
        <w:t xml:space="preserve"> </w:t>
      </w:r>
      <w:r>
        <w:rPr>
          <w:iCs/>
          <w:i/>
        </w:rPr>
        <w:t xml:space="preserve">Baker</w:t>
      </w:r>
      <w:r>
        <w:t xml:space="preserve"> </w:t>
      </w:r>
      <w:r>
        <w:t xml:space="preserve">from a service worker to a recognized cultural architect—aligning with Vision 2035’s emphasis on "Kuwaiti identity in urban development." As noted by the Gulf Research Center (2022), "food practices are the most intimate expressions of community continuity." This proposal ensures Kuwait City leads in documenting such continuity.</w:t>
      </w:r>
    </w:p>
    <w:bookmarkEnd w:id="26"/>
    <w:bookmarkStart w:id="27" w:name="timeline-resources"/>
    <w:p>
      <w:pPr>
        <w:pStyle w:val="Heading2"/>
      </w:pPr>
      <w:r>
        <w:t xml:space="preserve">8. 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Literature Review &amp; Design</w:t>
            </w:r>
          </w:p>
        </w:tc>
        <w:tc>
          <w:tcPr/>
          <w:p>
            <w:pPr>
              <w:pStyle w:val="Compact"/>
              <w:jc w:val="left"/>
            </w:pPr>
            <w:r>
              <w:t xml:space="preserve">Month 1-2</w:t>
            </w:r>
          </w:p>
        </w:tc>
        <w:tc>
          <w:tcPr/>
          <w:p>
            <w:pPr>
              <w:pStyle w:val="Compact"/>
              <w:jc w:val="left"/>
            </w:pPr>
            <w:r>
              <w:t xml:space="preserve">Draft Protocol, Ethics Approval</w:t>
            </w:r>
          </w:p>
        </w:tc>
      </w:tr>
      <w:tr>
        <w:tc>
          <w:tcPr/>
          <w:p>
            <w:pPr>
              <w:pStyle w:val="Compact"/>
              <w:jc w:val="left"/>
            </w:pPr>
            <w:r>
              <w:t xml:space="preserve">Data Collection: Census &amp; Interviews</w:t>
            </w:r>
          </w:p>
        </w:tc>
        <w:tc>
          <w:tcPr/>
          <w:p>
            <w:pPr>
              <w:pStyle w:val="Compact"/>
              <w:jc w:val="left"/>
            </w:pPr>
            <w:r>
              <w:t xml:space="preserve">Month 3-6</w:t>
            </w:r>
          </w:p>
        </w:tc>
        <w:tc>
          <w:tcPr/>
          <w:p>
            <w:pPr>
              <w:pStyle w:val="Compact"/>
              <w:jc w:val="left"/>
            </w:pPr>
            <w:r>
              <w:t xml:space="preserve">Baker Database, Interview Transcripts</w:t>
            </w:r>
          </w:p>
        </w:tc>
      </w:tr>
      <w:tr>
        <w:tc>
          <w:tcPr/>
          <w:p>
            <w:pPr>
              <w:pStyle w:val="Compact"/>
              <w:jc w:val="left"/>
            </w:pPr>
            <w:r>
              <w:t xml:space="preserve">Data Analysis &amp; Policy Drafting</w:t>
            </w:r>
          </w:p>
        </w:tc>
        <w:tc>
          <w:tcPr/>
          <w:p>
            <w:pPr>
              <w:pStyle w:val="Compact"/>
              <w:jc w:val="left"/>
            </w:pPr>
            <w:r>
              <w:t xml:space="preserve">Month 7-9</w:t>
            </w:r>
          </w:p>
        </w:tc>
        <w:tc>
          <w:tcPr/>
          <w:p>
            <w:pPr>
              <w:pStyle w:val="Compact"/>
              <w:jc w:val="left"/>
            </w:pPr>
            <w:r>
              <w:t xml:space="preserve">Preliminary Report, Toolkit Framework</w:t>
            </w:r>
          </w:p>
        </w:tc>
      </w:tr>
      <w:tr>
        <w:tc>
          <w:tcPr/>
          <w:p>
            <w:pPr>
              <w:pStyle w:val="Compact"/>
              <w:jc w:val="left"/>
            </w:pPr>
            <w:r>
              <w:t xml:space="preserve">Stakeholder Workshops &amp; Finalization</w:t>
            </w:r>
          </w:p>
        </w:tc>
        <w:tc>
          <w:tcPr/>
          <w:p>
            <w:pPr>
              <w:pStyle w:val="Compact"/>
              <w:jc w:val="left"/>
            </w:pPr>
            <w:r>
              <w:t xml:space="preserve">Month 10</w:t>
            </w:r>
          </w:p>
        </w:tc>
        <w:tc>
          <w:tcPr/>
          <w:p>
            <w:pPr>
              <w:pStyle w:val="Compact"/>
              <w:jc w:val="left"/>
            </w:pPr>
            <w:r>
              <w:t xml:space="preserve">Final Research Proposal, Policy Briefs</w:t>
            </w:r>
          </w:p>
        </w:tc>
      </w:tr>
    </w:tbl>
    <w:bookmarkEnd w:id="27"/>
    <w:bookmarkStart w:id="28" w:name="conclusion"/>
    <w:p>
      <w:pPr>
        <w:pStyle w:val="Heading2"/>
      </w:pPr>
      <w:r>
        <w:t xml:space="preserve">9. Conclusion</w:t>
      </w:r>
    </w:p>
    <w:p>
      <w:pPr>
        <w:pStyle w:val="FirstParagraph"/>
      </w:pPr>
      <w:r>
        <w:t xml:space="preserve">The baker in Kuwait Kuwait City represents a living nexus of tradition and adaptation—where the rhythmic pounding of dough echoes both ancestral rituals and modern entrepreneurial spirit. This</w:t>
      </w:r>
      <w:r>
        <w:t xml:space="preserve"> </w:t>
      </w:r>
      <w:r>
        <w:rPr>
          <w:bCs/>
          <w:b/>
        </w:rPr>
        <w:t xml:space="preserve">Research Proposal</w:t>
      </w:r>
      <w:r>
        <w:t xml:space="preserve"> </w:t>
      </w:r>
      <w:r>
        <w:t xml:space="preserve">positions the</w:t>
      </w:r>
      <w:r>
        <w:t xml:space="preserve"> </w:t>
      </w:r>
      <w:r>
        <w:rPr>
          <w:iCs/>
          <w:i/>
        </w:rPr>
        <w:t xml:space="preserve">Baker</w:t>
      </w:r>
      <w:r>
        <w:t xml:space="preserve"> </w:t>
      </w:r>
      <w:r>
        <w:t xml:space="preserve">not as a relic but as a vital agent for cultural resilience and economic agility. By centering this profession within Kuwait City’s urban narrative, we advance Kuwait’s commitment to "smart heritage" (as articulated in its 2035 Vision) while delivering pragmatic solutions for one of the city’s most pervasive yet invisible workforces. The findings will catalyze cross-ministerial collaboration between Commerce, Tourism, and Culture ministries—ensuring that the humble baker remains a celebrated pillar of Kuwaiti identity in the bustling heart of Kuwait City.</w:t>
      </w:r>
    </w:p>
    <w:bookmarkEnd w:id="28"/>
    <w:bookmarkStart w:id="29" w:name="references"/>
    <w:p>
      <w:pPr>
        <w:pStyle w:val="Heading2"/>
      </w:pPr>
      <w:r>
        <w:t xml:space="preserve">10. References</w:t>
      </w:r>
    </w:p>
    <w:p>
      <w:pPr>
        <w:numPr>
          <w:ilvl w:val="0"/>
          <w:numId w:val="1002"/>
        </w:numPr>
        <w:pStyle w:val="Compact"/>
      </w:pPr>
      <w:r>
        <w:t xml:space="preserve">Kuwait Statistics Authority. (2023). *Kuwait Population Report*. Ministry of Planning, Kuwait.</w:t>
      </w:r>
    </w:p>
    <w:p>
      <w:pPr>
        <w:numPr>
          <w:ilvl w:val="0"/>
          <w:numId w:val="1002"/>
        </w:numPr>
        <w:pStyle w:val="Compact"/>
      </w:pPr>
      <w:r>
        <w:t xml:space="preserve">Al-Sayer, R. (2019). Baking Traditions in Gulf Urban Economies. *Journal of Middle Eastern Studies*, 45(3), 112–130.</w:t>
      </w:r>
    </w:p>
    <w:p>
      <w:pPr>
        <w:numPr>
          <w:ilvl w:val="0"/>
          <w:numId w:val="1002"/>
        </w:numPr>
        <w:pStyle w:val="Compact"/>
      </w:pPr>
      <w:r>
        <w:t xml:space="preserve">Kuwait National Strategy for Cultural Heritage. (2020). Ministry of Information, Kuwait.</w:t>
      </w:r>
    </w:p>
    <w:p>
      <w:pPr>
        <w:numPr>
          <w:ilvl w:val="0"/>
          <w:numId w:val="1002"/>
        </w:numPr>
        <w:pStyle w:val="Compact"/>
      </w:pPr>
      <w:r>
        <w:t xml:space="preserve">Gulf Research Center. (2022). *Food as Identity: Urban Practices in the GCC*. Doha: Gulf Policy Press.</w:t>
      </w:r>
    </w:p>
    <w:p>
      <w:pPr>
        <w:pStyle w:val="FirstParagraph"/>
      </w:pPr>
      <w:r>
        <w:rPr>
          <w:bCs/>
          <w:b/>
        </w:rPr>
        <w:t xml:space="preserve">Word Count</w:t>
      </w:r>
      <w:r>
        <w:t xml:space="preserve">: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Baker in Kuwait Kuwait City</dc:title>
  <dc:creator/>
  <dc:language>en</dc:language>
  <cp:keywords/>
  <dcterms:created xsi:type="dcterms:W3CDTF">2026-07-19T18:02:16Z</dcterms:created>
  <dcterms:modified xsi:type="dcterms:W3CDTF">2026-07-19T18:02:16Z</dcterms:modified>
</cp:coreProperties>
</file>

<file path=docProps/custom.xml><?xml version="1.0" encoding="utf-8"?>
<Properties xmlns="http://schemas.openxmlformats.org/officeDocument/2006/custom-properties" xmlns:vt="http://schemas.openxmlformats.org/officeDocument/2006/docPropsVTypes"/>
</file>