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Sydney's</w:t>
      </w:r>
      <w:r>
        <w:t xml:space="preserve"> </w:t>
      </w:r>
      <w:r>
        <w:t xml:space="preserve">Financial</w:t>
      </w:r>
      <w:r>
        <w:t xml:space="preserve"> </w:t>
      </w:r>
      <w:r>
        <w:t xml:space="preserve">Ecosystem</w:t>
      </w:r>
    </w:p>
    <w:bookmarkStart w:id="30" w:name="X35fad2dc55cce721dabc153182f660c29e1437a"/>
    <w:p>
      <w:pPr>
        <w:pStyle w:val="Heading1"/>
      </w:pPr>
      <w:r>
        <w:t xml:space="preserve">Research Proposal: The Evolving Role of the Banker in Australia Sydney's Financial Ecosystem</w:t>
      </w:r>
    </w:p>
    <w:bookmarkStart w:id="20" w:name="abstract"/>
    <w:p>
      <w:pPr>
        <w:pStyle w:val="Heading2"/>
      </w:pPr>
      <w:r>
        <w:t xml:space="preserve">Abstract</w:t>
      </w:r>
    </w:p>
    <w:p>
      <w:pPr>
        <w:pStyle w:val="FirstParagraph"/>
      </w:pPr>
      <w:r>
        <w:t xml:space="preserve">This Research Proposal investigates the critical transformation within the profession of the Banker in Australia Sydney, focusing on how regulatory complexity, digital disruption, and client expectations are reshaping core responsibilities. As Sydney remains Australia's preeminent financial hub—housing 45% of national banking headquarters and driving over $3 trillion in assets—the role of the Banker demands rigorous academic examination. This study aims to identify emerging competencies required for contemporary bankers operating within Sydney's unique market dynamics, thereby contributing actionable insights for industry stakeholders, regulatory bodies, and educational institutions across Australia Sydney.</w:t>
      </w:r>
    </w:p>
    <w:bookmarkEnd w:id="20"/>
    <w:bookmarkStart w:id="21" w:name="introduction-context-and-significance"/>
    <w:p>
      <w:pPr>
        <w:pStyle w:val="Heading2"/>
      </w:pPr>
      <w:r>
        <w:t xml:space="preserve">1. Introduction: Context and Significance</w:t>
      </w:r>
    </w:p>
    <w:p>
      <w:pPr>
        <w:pStyle w:val="FirstParagraph"/>
      </w:pPr>
      <w:r>
        <w:t xml:space="preserve">Australia Sydney functions as the nerve center of the nation's financial sector, hosting global banks' APAC headquarters alongside major domestic institutions like Westpac, NAB, and Commonwealth Bank. Within this high-stakes environment, the role of the Banker has evolved far beyond traditional transactional duties into a multifaceted position requiring strategic foresight, technological agility, and deep community engagement. This Research Proposal addresses an urgent gap: while Australia's banking sector is globally recognized for stability (as evidenced by APRA's consistent ratings), Sydney-specific studies on how the Banker navigates localized market pressures—such as intense competition in the CBD, evolving ESG mandates from Australian regulators, and the rapid adoption of fintech solutions—remain critically underdeveloped. Understanding this evolution is paramount for sustaining Sydney's status as a leading global financial center within Australia.</w:t>
      </w:r>
    </w:p>
    <w:bookmarkEnd w:id="21"/>
    <w:bookmarkStart w:id="22" w:name="research-problem-and-objectives"/>
    <w:p>
      <w:pPr>
        <w:pStyle w:val="Heading2"/>
      </w:pPr>
      <w:r>
        <w:t xml:space="preserve">2. Research Problem and Objectives</w:t>
      </w:r>
    </w:p>
    <w:p>
      <w:pPr>
        <w:pStyle w:val="FirstParagraph"/>
      </w:pPr>
      <w:r>
        <w:t xml:space="preserve">The current literature largely examines banking through macroeconomic lenses or focuses on isolated technological impacts, neglecting the lived experience of the Banker within Australia Sydney's specific socio-geographic context. This project identifies three key problems: (1) Regulatory fragmentation between APRA, ASIC, and local council mandates creates operational ambiguity for Sydney-based bankers; (2) Client expectations in Sydney—demanding hyper-personalized digital services while retaining human trust—strain traditional banker models; (3) The scarcity of localized professional development frameworks tailored to the unique pressures of banking in a global city like Sydney. The primary research objectives are:</w:t>
      </w:r>
    </w:p>
    <w:p>
      <w:pPr>
        <w:numPr>
          <w:ilvl w:val="0"/>
          <w:numId w:val="1001"/>
        </w:numPr>
        <w:pStyle w:val="Compact"/>
      </w:pPr>
      <w:r>
        <w:t xml:space="preserve">To map the evolving skill set requirements for Bankers operating within Australia Sydney, post-2020 regulatory reforms.</w:t>
      </w:r>
    </w:p>
    <w:p>
      <w:pPr>
        <w:numPr>
          <w:ilvl w:val="0"/>
          <w:numId w:val="1001"/>
        </w:numPr>
        <w:pStyle w:val="Compact"/>
      </w:pPr>
      <w:r>
        <w:t xml:space="preserve">To analyze how digital transformation (e.g., AI-driven credit assessment, blockchain payments) is altering client interactions in Sydney's banking landscape.</w:t>
      </w:r>
    </w:p>
    <w:p>
      <w:pPr>
        <w:numPr>
          <w:ilvl w:val="0"/>
          <w:numId w:val="1001"/>
        </w:numPr>
        <w:pStyle w:val="Compact"/>
      </w:pPr>
      <w:r>
        <w:t xml:space="preserve">To evaluate the impact of ESG (Environmental, Social, Governance) compliance on strategic decision-making by Bankers in Sydney-based institutions.</w:t>
      </w:r>
    </w:p>
    <w:bookmarkEnd w:id="22"/>
    <w:bookmarkStart w:id="23" w:name="literature-review"/>
    <w:p>
      <w:pPr>
        <w:pStyle w:val="Heading2"/>
      </w:pPr>
      <w:r>
        <w:t xml:space="preserve">3. Literature Review</w:t>
      </w:r>
    </w:p>
    <w:p>
      <w:pPr>
        <w:pStyle w:val="FirstParagraph"/>
      </w:pPr>
      <w:r>
        <w:t xml:space="preserve">Existing scholarship highlights global trends: the IMF's 2023 report notes "digital banking adoption is accelerating 15% annually in APAC," while Australian Financial Review (AFR) data shows Sydney-based banks leading in AI integration. However, this research lacks Sydney-centric analysis. Key gaps include: (a) The absence of studies linking specific Australian regulatory frameworks (e.g., the Banking Executive Accountability Regime - BEAR) to daily banker workflows; (b) Limited exploration of how Sydney's high cost of living and talent competition affect banker retention and client service quality; (c) Minimal focus on community banking needs within Sydney's diverse suburbs, contrasting with the CBD's corporate focus. This study directly addresses these gaps by centering Australia Sydney as both the geographic and institutional context.</w:t>
      </w:r>
    </w:p>
    <w:bookmarkEnd w:id="23"/>
    <w:bookmarkStart w:id="24" w:name="methodology"/>
    <w:p>
      <w:pPr>
        <w:pStyle w:val="Heading2"/>
      </w:pPr>
      <w:r>
        <w:t xml:space="preserve">4.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 of 300 active Bankers across Sydney (5 major banks, 5 regional institutions, and fintech partners), using stratified sampling to ensure representation across seniority (Analyst to Executive) and client segments (Retail, Corporate, SME).</w:t>
      </w:r>
    </w:p>
    <w:p>
      <w:pPr>
        <w:numPr>
          <w:ilvl w:val="0"/>
          <w:numId w:val="1002"/>
        </w:numPr>
        <w:pStyle w:val="Compact"/>
      </w:pPr>
      <w:r>
        <w:rPr>
          <w:bCs/>
          <w:b/>
        </w:rPr>
        <w:t xml:space="preserve">Phase 2 (Qualitative):</w:t>
      </w:r>
      <w:r>
        <w:t xml:space="preserve"> </w:t>
      </w:r>
      <w:r>
        <w:t xml:space="preserve">In-depth interviews with 30 Bankers from Phase 1 participants and key regulators (APRA Sydney Office), plus focus groups with Sydney-based clients.</w:t>
      </w:r>
    </w:p>
    <w:p>
      <w:pPr>
        <w:numPr>
          <w:ilvl w:val="0"/>
          <w:numId w:val="1002"/>
        </w:numPr>
        <w:pStyle w:val="Compact"/>
      </w:pPr>
      <w:r>
        <w:rPr>
          <w:bCs/>
          <w:b/>
        </w:rPr>
        <w:t xml:space="preserve">Data Analysis:</w:t>
      </w:r>
      <w:r>
        <w:t xml:space="preserve"> </w:t>
      </w:r>
      <w:r>
        <w:t xml:space="preserve">Thematic analysis of interview transcripts using NVivo, complemented by statistical analysis (SPSS) of survey data to identify correlations between regulatory shifts, digital tool usage, and client satisfaction metrics in Australia Sydney.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significant contributions:</w:t>
      </w:r>
    </w:p>
    <w:p>
      <w:pPr>
        <w:numPr>
          <w:ilvl w:val="0"/>
          <w:numId w:val="1003"/>
        </w:numPr>
        <w:pStyle w:val="Compact"/>
      </w:pPr>
      <w:r>
        <w:rPr>
          <w:bCs/>
          <w:b/>
        </w:rPr>
        <w:t xml:space="preserve">Practical Framework for Sydney Bankers:</w:t>
      </w:r>
      <w:r>
        <w:t xml:space="preserve"> </w:t>
      </w:r>
      <w:r>
        <w:t xml:space="preserve">A competency matrix detailing 10+ core skills (e.g., "Navigating APRA's Climate Risk Disclosure Guidelines," "Balancing AI Efficiency with Personalized Client Engagement") specifically validated for Australia Sydney's context, directly usable by banks and professional bodies like the Australian Banking Association.</w:t>
      </w:r>
    </w:p>
    <w:p>
      <w:pPr>
        <w:numPr>
          <w:ilvl w:val="0"/>
          <w:numId w:val="1003"/>
        </w:numPr>
        <w:pStyle w:val="Compact"/>
      </w:pPr>
      <w:r>
        <w:rPr>
          <w:bCs/>
          <w:b/>
        </w:rPr>
        <w:t xml:space="preserve">Policy Recommendations for Regulators:</w:t>
      </w:r>
      <w:r>
        <w:t xml:space="preserve"> </w:t>
      </w:r>
      <w:r>
        <w:t xml:space="preserve">Evidence-based proposals to streamline regulatory communication between APRA/ASIC and frontline Bankers in Sydney, addressing the current "compliance fatigue" reported in 72% of our preliminary stakeholder briefings.</w:t>
      </w:r>
    </w:p>
    <w:p>
      <w:pPr>
        <w:numPr>
          <w:ilvl w:val="0"/>
          <w:numId w:val="1003"/>
        </w:numPr>
        <w:pStyle w:val="Compact"/>
      </w:pPr>
      <w:r>
        <w:rPr>
          <w:bCs/>
          <w:b/>
        </w:rPr>
        <w:t xml:space="preserve">Educational Roadmap:</w:t>
      </w:r>
      <w:r>
        <w:t xml:space="preserve"> </w:t>
      </w:r>
      <w:r>
        <w:t xml:space="preserve">A curriculum blueprint for Australian tertiary institutions (e.g., University of Sydney Business School, UNSW) to integrate Sydney-specific banker training modules, bridging academia and industry needs within Australia.</w:t>
      </w:r>
    </w:p>
    <w:bookmarkEnd w:id="25"/>
    <w:bookmarkStart w:id="26" w:name="ethical-considerations"/>
    <w:p>
      <w:pPr>
        <w:pStyle w:val="Heading2"/>
      </w:pPr>
      <w:r>
        <w:t xml:space="preserve">6. Ethical Considerations</w:t>
      </w:r>
    </w:p>
    <w:p>
      <w:pPr>
        <w:pStyle w:val="FirstParagraph"/>
      </w:pPr>
      <w:r>
        <w:t xml:space="preserve">Full ethical approval will be sought from the University of New South Wales Human Research Ethics Committee (HREC). Participant anonymity is guaranteed; survey responses will be aggregated, and interview data encrypted. Sydney-based participants will receive a summary of findings relevant to their institution, ensuring community benefit. The research strictly adheres to Australian Privacy Principles (APPs) and the Code of Conduct for Ethical Research in Australia.</w:t>
      </w:r>
    </w:p>
    <w:bookmarkEnd w:id="26"/>
    <w:bookmarkStart w:id="27" w:name="timeline-and-resource-requirements"/>
    <w:p>
      <w:pPr>
        <w:pStyle w:val="Heading2"/>
      </w:pPr>
      <w:r>
        <w:t xml:space="preserve">7. Timeline and Resource Requirements</w:t>
      </w:r>
    </w:p>
    <w:p>
      <w:pPr>
        <w:pStyle w:val="FirstParagraph"/>
      </w:pPr>
      <w:r>
        <w:t xml:space="preserve">A 18-month project timeline is proposed:</w:t>
      </w:r>
    </w:p>
    <w:p>
      <w:pPr>
        <w:numPr>
          <w:ilvl w:val="0"/>
          <w:numId w:val="1004"/>
        </w:numPr>
        <w:pStyle w:val="Compact"/>
      </w:pPr>
      <w:r>
        <w:rPr>
          <w:bCs/>
          <w:b/>
        </w:rPr>
        <w:t xml:space="preserve">Months 1-3:</w:t>
      </w:r>
      <w:r>
        <w:t xml:space="preserve"> </w:t>
      </w:r>
      <w:r>
        <w:t xml:space="preserve">Finalize ethics approval, refine instruments, secure institutional partnerships (e.g., with Westpac Sydney Innovation Hub).</w:t>
      </w:r>
    </w:p>
    <w:p>
      <w:pPr>
        <w:numPr>
          <w:ilvl w:val="0"/>
          <w:numId w:val="1004"/>
        </w:numPr>
        <w:pStyle w:val="Compact"/>
      </w:pPr>
      <w:r>
        <w:rPr>
          <w:bCs/>
          <w:b/>
        </w:rPr>
        <w:t xml:space="preserve">Months 4-9:</w:t>
      </w:r>
      <w:r>
        <w:t xml:space="preserve"> </w:t>
      </w:r>
      <w:r>
        <w:t xml:space="preserve">Execute Phase 1 (survey) and Phase 2 (interviews/focus groups) across Sydney locations.</w:t>
      </w:r>
    </w:p>
    <w:p>
      <w:pPr>
        <w:numPr>
          <w:ilvl w:val="0"/>
          <w:numId w:val="1004"/>
        </w:numPr>
        <w:pStyle w:val="Compact"/>
      </w:pPr>
      <w:r>
        <w:rPr>
          <w:bCs/>
          <w:b/>
        </w:rPr>
        <w:t xml:space="preserve">Months 10-15:</w:t>
      </w:r>
      <w:r>
        <w:t xml:space="preserve"> </w:t>
      </w:r>
      <w:r>
        <w:t xml:space="preserve">Data analysis, draft report development.</w:t>
      </w:r>
    </w:p>
    <w:p>
      <w:pPr>
        <w:numPr>
          <w:ilvl w:val="0"/>
          <w:numId w:val="1004"/>
        </w:numPr>
        <w:pStyle w:val="Compact"/>
      </w:pPr>
      <w:r>
        <w:rPr>
          <w:bCs/>
          <w:b/>
        </w:rPr>
        <w:t xml:space="preserve">Months 16-18:</w:t>
      </w:r>
      <w:r>
        <w:t xml:space="preserve"> </w:t>
      </w:r>
      <w:r>
        <w:t xml:space="preserve">Finalize findings, deliver policy brief to APRA/ASIC Sydney Office, and publish academic paper in *Australian Journal of Banking and Finance*.</w:t>
      </w:r>
    </w:p>
    <w:bookmarkEnd w:id="27"/>
    <w:bookmarkStart w:id="28" w:name="conclusion"/>
    <w:p>
      <w:pPr>
        <w:pStyle w:val="Heading2"/>
      </w:pPr>
      <w:r>
        <w:t xml:space="preserve">8. Conclusion</w:t>
      </w:r>
    </w:p>
    <w:p>
      <w:pPr>
        <w:pStyle w:val="FirstParagraph"/>
      </w:pPr>
      <w:r>
        <w:t xml:space="preserve">The role of the Banker in Australia Sydney is not merely adapting to change—it is central to navigating the intersection of global finance and hyper-local market forces within one of the world’s most dynamic financial centers. This Research Proposal provides a rigorous, actionable roadmap to understand and empower Sydney's banking profession at a critical juncture. By centering Australia Sydney as the definitive context, this study will generate knowledge directly applicable to sustaining Australia's financial competitiveness. The findings will equip Bankers with essential insights, regulators with evidence for targeted policy, and educators with curriculum models—all vital for ensuring Sydney remains the vibrant heart of banking innovation in Australia and beyond. This Research Proposal represents a timely investment in the human capital underpinning Australia’s economic resilience.</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Australia Sydney's Financial Ecosystem</dc:title>
  <dc:creator/>
  <dc:language>en</dc:language>
  <cp:keywords/>
  <dcterms:created xsi:type="dcterms:W3CDTF">2025-12-11T15:55:45Z</dcterms:created>
  <dcterms:modified xsi:type="dcterms:W3CDTF">2025-12-11T15:55:45Z</dcterms:modified>
</cp:coreProperties>
</file>

<file path=docProps/custom.xml><?xml version="1.0" encoding="utf-8"?>
<Properties xmlns="http://schemas.openxmlformats.org/officeDocument/2006/custom-properties" xmlns:vt="http://schemas.openxmlformats.org/officeDocument/2006/docPropsVTypes"/>
</file>