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Belgium</w:t>
      </w:r>
      <w:r>
        <w:t xml:space="preserve"> </w:t>
      </w:r>
      <w:r>
        <w:t xml:space="preserve">Brussels</w:t>
      </w:r>
    </w:p>
    <w:bookmarkStart w:id="29" w:name="Xa56d0494108a95f1ef78d5ed7ea18fafe486149"/>
    <w:p>
      <w:pPr>
        <w:pStyle w:val="Heading1"/>
      </w:pPr>
      <w:r>
        <w:t xml:space="preserve">Research Proposal: The Evolving Role of the Modern Banker in Belgium Brussels</w:t>
      </w:r>
    </w:p>
    <w:bookmarkStart w:id="20" w:name="introduction"/>
    <w:p>
      <w:pPr>
        <w:pStyle w:val="Heading2"/>
      </w:pPr>
      <w:r>
        <w:t xml:space="preserve">1. Introduction</w:t>
      </w:r>
    </w:p>
    <w:p>
      <w:pPr>
        <w:pStyle w:val="FirstParagraph"/>
      </w:pPr>
      <w:r>
        <w:t xml:space="preserve">The financial landscape of Belgium, particularly its capital city Brussels, stands at a pivotal juncture where traditional banking paradigms intersect with digital innovation, regulatory complexity, and shifting client expectations. This research proposal outlines a comprehensive study examining the contemporary role of the banker within Belgium's unique financial ecosystem. As Brussels serves as the de facto financial hub for European Union institutions and hosts over 100 international banks—including major players like KBC Group, BNP Paribas Fortis, and numerous foreign branches—understanding how bankers navigate this dynamic environment is critical for sustainable growth. This study specifically investigates the evolving responsibilities of banking professionals in Belgium Brussels amid accelerated digital transformation, stringent EU regulatory frameworks (such as MiFID II and GDPR), and increasing demand for ESG (Environmental, Social, Governance) integration. The findings will provide actionable insights for financial institutions, policymakers, and banking education providers operating within this strategic European nexus.</w:t>
      </w:r>
    </w:p>
    <w:bookmarkEnd w:id="20"/>
    <w:bookmarkStart w:id="21" w:name="problem-statement"/>
    <w:p>
      <w:pPr>
        <w:pStyle w:val="Heading2"/>
      </w:pPr>
      <w:r>
        <w:t xml:space="preserve">2. Problem Statement</w:t>
      </w:r>
    </w:p>
    <w:p>
      <w:pPr>
        <w:pStyle w:val="FirstParagraph"/>
      </w:pPr>
      <w:r>
        <w:t xml:space="preserve">Despite Brussels' prominence as a European financial center, there remains a significant gap in empirical research addressing the lived experience of bankers in this specific context. Traditional studies often generalize across broader European markets or focus on macroeconomic trends, neglecting the nuanced daily challenges faced by banking professionals operating within Belgium's distinct legal framework and cultural milieu. Key issues include: (a) the impact of Brussels' dual role as EU administrative capital and financial hub on client expectations; (b) the operational tension between local Belgian banking practices and EU-wide regulatory harmonization; (c) the accelerating shift toward digital banking platforms that redefines core banker-client relationships. Without targeted research, institutions risk misallocating resources in talent development, technology adoption, and service innovation within this critical market.</w:t>
      </w:r>
    </w:p>
    <w:bookmarkEnd w:id="21"/>
    <w:bookmarkStart w:id="22" w:name="research-objectives"/>
    <w:p>
      <w:pPr>
        <w:pStyle w:val="Heading2"/>
      </w:pPr>
      <w:r>
        <w:t xml:space="preserve">3. Research Objectives</w:t>
      </w:r>
    </w:p>
    <w:p>
      <w:pPr>
        <w:numPr>
          <w:ilvl w:val="0"/>
          <w:numId w:val="1001"/>
        </w:numPr>
        <w:pStyle w:val="Compact"/>
      </w:pPr>
      <w:r>
        <w:t xml:space="preserve">To map the evolving skillset requirements for bankers in Belgium Brussels through comparative analysis of job descriptions (2018–2024) across major financial institutions.</w:t>
      </w:r>
    </w:p>
    <w:p>
      <w:pPr>
        <w:numPr>
          <w:ilvl w:val="0"/>
          <w:numId w:val="1001"/>
        </w:numPr>
        <w:pStyle w:val="Compact"/>
      </w:pPr>
      <w:r>
        <w:t xml:space="preserve">To assess how EU regulatory frameworks uniquely influence daily banking operations in Brussels compared to other European financial centers.</w:t>
      </w:r>
    </w:p>
    <w:p>
      <w:pPr>
        <w:numPr>
          <w:ilvl w:val="0"/>
          <w:numId w:val="1001"/>
        </w:numPr>
        <w:pStyle w:val="Compact"/>
      </w:pPr>
      <w:r>
        <w:t xml:space="preserve">To evaluate client expectations regarding digital service delivery, sustainability integration, and personalized advisory services among Belgian corporate and retail banking segments.</w:t>
      </w:r>
    </w:p>
    <w:p>
      <w:pPr>
        <w:numPr>
          <w:ilvl w:val="0"/>
          <w:numId w:val="1001"/>
        </w:numPr>
        <w:pStyle w:val="Compact"/>
      </w:pPr>
      <w:r>
        <w:t xml:space="preserve">To develop a framework for future-proofing banker roles that balances technological adoption with human-centric relationship management within the Belgium Brussels context.</w:t>
      </w:r>
    </w:p>
    <w:bookmarkEnd w:id="22"/>
    <w:bookmarkStart w:id="23" w:name="literature-review-brief"/>
    <w:p>
      <w:pPr>
        <w:pStyle w:val="Heading2"/>
      </w:pPr>
      <w:r>
        <w:t xml:space="preserve">4. Literature Review (Brief)</w:t>
      </w:r>
    </w:p>
    <w:p>
      <w:pPr>
        <w:pStyle w:val="FirstParagraph"/>
      </w:pPr>
      <w:r>
        <w:t xml:space="preserve">Existing scholarship on banking transformation emphasizes digital disruption (e.g., McKinsey, 2023) and regulatory impacts (European Banking Authority, 2022). However, few studies contextualize these trends within Belgium's specific institutional framework—where national laws often intersect with EU directives. Research by De Bruycker &amp; Van den Heuvel (2021) highlights Brussels' unique position as a "regulatory laboratory," yet neglects the human element: the banker's evolving professional identity. This gap is critical, as Belgium's banking sector contributes over 12% to national GDP and employs nearly 90,000 professionals in Brussels alone (Belgian Banking Federation, 2023). Our study bridges this by centering the banker’s perspective within Belgium Brussels’ geopolitical and economic reality.</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w:t>
      </w:r>
    </w:p>
    <w:p>
      <w:pPr>
        <w:numPr>
          <w:ilvl w:val="0"/>
          <w:numId w:val="1002"/>
        </w:numPr>
        <w:pStyle w:val="Compact"/>
      </w:pPr>
      <w:r>
        <w:rPr>
          <w:bCs/>
          <w:b/>
        </w:rPr>
        <w:t xml:space="preserve">Phase 1 (Quantitative):</w:t>
      </w:r>
      <w:r>
        <w:t xml:space="preserve"> </w:t>
      </w:r>
      <w:r>
        <w:t xml:space="preserve">Analysis of 300+ job postings from major Brussels-based banks (KBC, BNP Paribas Fortis, ING Belgium) and fintech partnerships via LinkedIn and institutional websites. Machine learning algorithms will identify evolving keyword trends (e.g., "ESG advisor," "AI literacy," "regulatory compliance") across the 2018–2024 timeframe.</w:t>
      </w:r>
    </w:p>
    <w:p>
      <w:pPr>
        <w:numPr>
          <w:ilvl w:val="0"/>
          <w:numId w:val="1002"/>
        </w:numPr>
        <w:pStyle w:val="Compact"/>
      </w:pPr>
      <w:r>
        <w:rPr>
          <w:bCs/>
          <w:b/>
        </w:rPr>
        <w:t xml:space="preserve">Phase 2 (Qualitative):</w:t>
      </w:r>
      <w:r>
        <w:t xml:space="preserve"> </w:t>
      </w:r>
      <w:r>
        <w:t xml:space="preserve">In-depth interviews with 35 banking professionals in Brussels—spanning roles from retail relationship managers to fintech innovation leads—and focus groups with corporate clients (n=15) and EU regulatory staff from the Belgian Financial Services and Markets Authority (FSMA). All sessions conducted in English/French/Dutch to reflect Belgium's multilingual context.</w:t>
      </w:r>
    </w:p>
    <w:p>
      <w:pPr>
        <w:numPr>
          <w:ilvl w:val="0"/>
          <w:numId w:val="1002"/>
        </w:numPr>
        <w:pStyle w:val="Compact"/>
      </w:pPr>
      <w:r>
        <w:rPr>
          <w:bCs/>
          <w:b/>
        </w:rPr>
        <w:t xml:space="preserve">Phase 3 (Data Triangulation):</w:t>
      </w:r>
      <w:r>
        <w:t xml:space="preserve"> </w:t>
      </w:r>
      <w:r>
        <w:t xml:space="preserve">Cross-referencing findings with Belgium’s National Bank reports, EU financial data portals, and sector-specific publications (e.g., "Brussels Banking Review") to validate insights against empirical market data.</w:t>
      </w:r>
    </w:p>
    <w:p>
      <w:pPr>
        <w:pStyle w:val="FirstParagraph"/>
      </w:pPr>
      <w:r>
        <w:t xml:space="preserve">All research adheres to the Belgian Data Protection Authority's standards for GDPR compliance, with anonymized participant data stored in Brussels-based secure servers.</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"Banker Competency Matrix" tailored to Belgium Brussels' regulatory and market demands, identifying 5 core skill clusters (e.g., Regulatory Navigation, ESG Integration, Digital Advisory).</w:t>
      </w:r>
    </w:p>
    <w:p>
      <w:pPr>
        <w:numPr>
          <w:ilvl w:val="0"/>
          <w:numId w:val="1003"/>
        </w:numPr>
        <w:pStyle w:val="Compact"/>
      </w:pPr>
      <w:r>
        <w:t xml:space="preserve">Actionable recommendations for banking institutions on talent development strategies that align with Brussels' EU policy environment.</w:t>
      </w:r>
    </w:p>
    <w:p>
      <w:pPr>
        <w:numPr>
          <w:ilvl w:val="0"/>
          <w:numId w:val="1003"/>
        </w:numPr>
        <w:pStyle w:val="Compact"/>
      </w:pPr>
      <w:r>
        <w:t xml:space="preserve">Policy briefs for the Belgian Ministry of Finance and FSMA on optimizing regulatory frameworks to support banker effectiveness without stifling innovation.</w:t>
      </w:r>
    </w:p>
    <w:p>
      <w:pPr>
        <w:numPr>
          <w:ilvl w:val="0"/>
          <w:numId w:val="1003"/>
        </w:numPr>
        <w:pStyle w:val="Compact"/>
      </w:pPr>
      <w:r>
        <w:t xml:space="preserve">A public dataset tracking evolution of banker roles in Belgium—a first-of-its-kind resource for academics and industry stakeholders.</w:t>
      </w:r>
    </w:p>
    <w:p>
      <w:pPr>
        <w:pStyle w:val="FirstParagraph"/>
      </w:pPr>
      <w:r>
        <w:t xml:space="preserve">The significance extends beyond academia: By clarifying the modern banker's role in Europe’s policy heartland, this study directly supports Belgium's strategic goal to strengthen Brussels as a resilient, future-ready financial center. It empowers institutions to reduce operational friction with EU regulations while enhancing client value—critical for competitiveness against London and Frankfurt post-Brexit.</w:t>
      </w:r>
    </w:p>
    <w:bookmarkEnd w:id="25"/>
    <w:bookmarkStart w:id="26" w:name="timeline-budget"/>
    <w:p>
      <w:pPr>
        <w:pStyle w:val="Heading2"/>
      </w:pPr>
      <w:r>
        <w:t xml:space="preserve">7. Timeline &amp;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Budget Allocation (EUR)</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8,500</w:t>
            </w:r>
          </w:p>
        </w:tc>
      </w:tr>
      <w:tr>
        <w:tc>
          <w:tcPr/>
          <w:p>
            <w:pPr>
              <w:pStyle w:val="Compact"/>
              <w:jc w:val="left"/>
            </w:pPr>
            <w:r>
              <w:t xml:space="preserve">Data Collection (Job Analysis + Interviews)</w:t>
            </w:r>
          </w:p>
        </w:tc>
        <w:tc>
          <w:tcPr/>
          <w:p>
            <w:pPr>
              <w:pStyle w:val="Compact"/>
              <w:jc w:val="left"/>
            </w:pPr>
            <w:r>
              <w:t xml:space="preserve">Months 3–5</w:t>
            </w:r>
          </w:p>
        </w:tc>
        <w:tc>
          <w:tcPr/>
          <w:p>
            <w:pPr>
              <w:pStyle w:val="Compact"/>
              <w:jc w:val="left"/>
            </w:pPr>
            <w:r>
              <w:t xml:space="preserve">42,000</w:t>
            </w:r>
          </w:p>
        </w:tc>
      </w:tr>
      <w:tr>
        <w:tc>
          <w:tcPr/>
          <w:p>
            <w:pPr>
              <w:pStyle w:val="Compact"/>
              <w:jc w:val="left"/>
            </w:pPr>
            <w:r>
              <w:t xml:space="preserve">Data Analysis &amp; Framework Development</w:t>
            </w:r>
          </w:p>
        </w:tc>
        <w:tc>
          <w:tcPr/>
          <w:p>
            <w:pPr>
              <w:pStyle w:val="Compact"/>
              <w:jc w:val="left"/>
            </w:pPr>
            <w:r>
              <w:t xml:space="preserve">Months 6–8</w:t>
            </w:r>
          </w:p>
        </w:tc>
        <w:tc>
          <w:tcPr/>
          <w:p>
            <w:pPr>
              <w:pStyle w:val="Compact"/>
              <w:jc w:val="left"/>
            </w:pPr>
            <w:r>
              <w:t xml:space="preserve">31,500</w:t>
            </w:r>
          </w:p>
        </w:tc>
      </w:tr>
      <w:tr>
        <w:tc>
          <w:tcPr/>
          <w:p>
            <w:pPr>
              <w:pStyle w:val="Compact"/>
              <w:jc w:val="left"/>
            </w:pPr>
            <w:r>
              <w:t xml:space="preserve">Total (Excluding Admin)</w:t>
            </w:r>
          </w:p>
        </w:tc>
        <w:tc>
          <w:tcPr/>
          <w:p>
            <w:pPr>
              <w:pStyle w:val="Compact"/>
              <w:jc w:val="left"/>
            </w:pPr>
            <w:r>
              <w:t xml:space="preserve">€82,000</w:t>
            </w:r>
          </w:p>
        </w:tc>
        <w:tc>
          <w:tcPr/>
          <w:p>
            <w:pPr>
              <w:pStyle w:val="Compact"/>
            </w:pPr>
          </w:p>
        </w:tc>
      </w:tr>
    </w:tbl>
    <w:bookmarkEnd w:id="26"/>
    <w:bookmarkStart w:id="27" w:name="conclusion"/>
    <w:p>
      <w:pPr>
        <w:pStyle w:val="Heading2"/>
      </w:pPr>
      <w:r>
        <w:t xml:space="preserve">8. Conclusion</w:t>
      </w:r>
    </w:p>
    <w:p>
      <w:pPr>
        <w:pStyle w:val="FirstParagraph"/>
      </w:pPr>
      <w:r>
        <w:t xml:space="preserve">The banker in Belgium Brussels is no longer merely a transaction facilitator but a strategic navigator of interconnected challenges: regulatory complexity, technological disruption, and societal expectations. This research proposal directly addresses the urgent need to understand this metamorphosis through context-specific investigation. By centering the Belgian banking professional within Brussels’ unique position as Europe’s policy and financial crossroads, we will generate evidence-based insights that strengthen Belgium’s financial ecosystem while contributing to global best practices in banking transformation. The outcomes promise not only enhanced operational resilience for banks but also a clearer pathway toward a more sustainable, client-centric banking future—anchored in the heart of the European Union.</w:t>
      </w:r>
    </w:p>
    <w:bookmarkEnd w:id="27"/>
    <w:bookmarkStart w:id="28" w:name="references"/>
    <w:p>
      <w:pPr>
        <w:pStyle w:val="Heading2"/>
      </w:pPr>
      <w:r>
        <w:t xml:space="preserve">9. References</w:t>
      </w:r>
    </w:p>
    <w:p>
      <w:pPr>
        <w:numPr>
          <w:ilvl w:val="0"/>
          <w:numId w:val="1004"/>
        </w:numPr>
        <w:pStyle w:val="Compact"/>
      </w:pPr>
      <w:r>
        <w:t xml:space="preserve">Belgian Banking Federation (2023). *Financial Sector Employment Report*. Brussels: BBF Publications.</w:t>
      </w:r>
    </w:p>
    <w:p>
      <w:pPr>
        <w:numPr>
          <w:ilvl w:val="0"/>
          <w:numId w:val="1004"/>
        </w:numPr>
        <w:pStyle w:val="Compact"/>
      </w:pPr>
      <w:r>
        <w:t xml:space="preserve">De Bruycker, L., &amp; Van den Heuvel, S. (2021). "Brussels as a Regulatory Testing Ground." *Journal of European Banking Policy*, 15(4), 203–219.</w:t>
      </w:r>
    </w:p>
    <w:p>
      <w:pPr>
        <w:numPr>
          <w:ilvl w:val="0"/>
          <w:numId w:val="1004"/>
        </w:numPr>
        <w:pStyle w:val="Compact"/>
      </w:pPr>
      <w:r>
        <w:t xml:space="preserve">European Banking Authority (2022). *Regulatory Compliance Trends in EU Financial Centers*. Frankfurt: EBA.</w:t>
      </w:r>
    </w:p>
    <w:p>
      <w:pPr>
        <w:numPr>
          <w:ilvl w:val="0"/>
          <w:numId w:val="1004"/>
        </w:numPr>
        <w:pStyle w:val="Compact"/>
      </w:pPr>
      <w:r>
        <w:t xml:space="preserve">McKinsey &amp; Company (2023). *The Future of Banking: Digital, Sustainable, and Human-Centric*. London: McKinsey Global Institute.</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Modern Banker in Belgium Brussels</dc:title>
  <dc:creator/>
  <dc:language>en</dc:language>
  <cp:keywords/>
  <dcterms:created xsi:type="dcterms:W3CDTF">2026-07-21T09:13:11Z</dcterms:created>
  <dcterms:modified xsi:type="dcterms:W3CDTF">2026-07-21T09:13:11Z</dcterms:modified>
</cp:coreProperties>
</file>

<file path=docProps/custom.xml><?xml version="1.0" encoding="utf-8"?>
<Properties xmlns="http://schemas.openxmlformats.org/officeDocument/2006/custom-properties" xmlns:vt="http://schemas.openxmlformats.org/officeDocument/2006/docPropsVTypes"/>
</file>