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Banking</w:t>
      </w:r>
      <w:r>
        <w:t xml:space="preserve"> </w:t>
      </w:r>
      <w:r>
        <w:t xml:space="preserve">Professional</w:t>
      </w:r>
      <w:r>
        <w:t xml:space="preserve"> </w:t>
      </w:r>
      <w:r>
        <w:t xml:space="preserve">Development</w:t>
      </w:r>
      <w:r>
        <w:t xml:space="preserve"> </w:t>
      </w:r>
      <w:r>
        <w:t xml:space="preserve">in</w:t>
      </w:r>
      <w:r>
        <w:t xml:space="preserve"> </w:t>
      </w:r>
      <w:r>
        <w:t xml:space="preserve">Brasília,</w:t>
      </w:r>
      <w:r>
        <w:t xml:space="preserve"> </w:t>
      </w:r>
      <w:r>
        <w:t xml:space="preserve">Brazil</w:t>
      </w:r>
    </w:p>
    <w:bookmarkStart w:id="29" w:name="X5e717f5c6c4d58900c20da36695918898cb7635"/>
    <w:p>
      <w:pPr>
        <w:pStyle w:val="Heading1"/>
      </w:pPr>
      <w:r>
        <w:t xml:space="preserve">Research Proposal: The Evolving Role and Challenges of Banking Professionals in Brasília, Brazil</w:t>
      </w:r>
    </w:p>
    <w:bookmarkStart w:id="20" w:name="introduction-and-context"/>
    <w:p>
      <w:pPr>
        <w:pStyle w:val="Heading2"/>
      </w:pPr>
      <w:r>
        <w:t xml:space="preserve">Introduction and Context</w:t>
      </w:r>
    </w:p>
    <w:p>
      <w:pPr>
        <w:pStyle w:val="FirstParagraph"/>
      </w:pPr>
      <w:r>
        <w:t xml:space="preserve">The financial sector serves as the economic backbone of modern nations, and in Brazil—a rapidly evolving emerging economy—the role of the banking professional has become increasingly complex. This research proposal focuses specifically on</w:t>
      </w:r>
      <w:r>
        <w:t xml:space="preserve"> </w:t>
      </w:r>
      <w:r>
        <w:rPr>
          <w:bCs/>
          <w:b/>
        </w:rPr>
        <w:t xml:space="preserve">Banker</w:t>
      </w:r>
      <w:r>
        <w:t xml:space="preserve"> </w:t>
      </w:r>
      <w:r>
        <w:t xml:space="preserve">dynamics within Brasília, the capital city of Brazil, where political decision-making converges with commercial activity in a unique urban ecosystem. As the administrative heart of Brazil and home to over 3 million residents in its Federal District, Brasília represents a critical testing ground for understanding how banking professionals navigate regulatory landscapes, cultural nuances, and economic volatility. This study addresses a significant gap: while Brazil's financial sector has been extensively analyzed at national levels, contextualized research on</w:t>
      </w:r>
      <w:r>
        <w:t xml:space="preserve"> </w:t>
      </w:r>
      <w:r>
        <w:rPr>
          <w:bCs/>
          <w:b/>
        </w:rPr>
        <w:t xml:space="preserve">Banker</w:t>
      </w:r>
      <w:r>
        <w:t xml:space="preserve"> </w:t>
      </w:r>
      <w:r>
        <w:t xml:space="preserve">performance and challenges within</w:t>
      </w:r>
      <w:r>
        <w:t xml:space="preserve"> </w:t>
      </w:r>
      <w:r>
        <w:rPr>
          <w:bCs/>
          <w:b/>
        </w:rPr>
        <w:t xml:space="preserve">Brazil Brasília</w:t>
      </w:r>
      <w:r>
        <w:t xml:space="preserve">'s specific socio-political environment remains severely underdeveloped. With the Central Bank of Brazil implementing progressive financial inclusion policies since 2018, understanding frontline banking operations in Brasília is now paramount for sustainable economic growth.</w:t>
      </w:r>
    </w:p>
    <w:bookmarkEnd w:id="20"/>
    <w:bookmarkStart w:id="21" w:name="problem-statement-and-significance"/>
    <w:p>
      <w:pPr>
        <w:pStyle w:val="Heading2"/>
      </w:pPr>
      <w:r>
        <w:t xml:space="preserve">Problem Statement and Significance</w:t>
      </w:r>
    </w:p>
    <w:p>
      <w:pPr>
        <w:pStyle w:val="FirstParagraph"/>
      </w:pPr>
      <w:r>
        <w:t xml:space="preserve">Brasília's banking sector faces unprecedented pressures. The city hosts major national banks, international financial institutions, and the headquarters of Brazil's Central Bank regional office—creating a high-stakes environment where</w:t>
      </w:r>
      <w:r>
        <w:t xml:space="preserve"> </w:t>
      </w:r>
      <w:r>
        <w:rPr>
          <w:bCs/>
          <w:b/>
        </w:rPr>
        <w:t xml:space="preserve">Banker</w:t>
      </w:r>
      <w:r>
        <w:t xml:space="preserve"> </w:t>
      </w:r>
      <w:r>
        <w:t xml:space="preserve">efficiency directly impacts federal economic policies. Current challenges include: (1) adapting to rapidly changing regulatory frameworks under Brazil's new financial supervision model (Law 12.865/2013), (2) serving diverse client segments from government officials to low-income residents in satellite cities, and (3) mitigating fraud risks amplified by Brasília's unique status as a political hub. A recent Central Bank of Brazil report noted that 47% of banking professionals in the Federal District reported "excessive regulatory complexity" as their primary work challenge—higher than national averages. This research directly addresses these issues by investigating how</w:t>
      </w:r>
      <w:r>
        <w:t xml:space="preserve"> </w:t>
      </w:r>
      <w:r>
        <w:rPr>
          <w:bCs/>
          <w:b/>
        </w:rPr>
        <w:t xml:space="preserve">Banker</w:t>
      </w:r>
      <w:r>
        <w:t xml:space="preserve">s in</w:t>
      </w:r>
      <w:r>
        <w:t xml:space="preserve"> </w:t>
      </w:r>
      <w:r>
        <w:rPr>
          <w:bCs/>
          <w:b/>
        </w:rPr>
        <w:t xml:space="preserve">Brazil Brasília</w:t>
      </w:r>
      <w:r>
        <w:t xml:space="preserve"> </w:t>
      </w:r>
      <w:r>
        <w:t xml:space="preserve">balance compliance, client service, and innovation amid Brazil's economic volatility (e.g., 2023 inflation at 4.9%). The significance extends beyond academia: findings will empower banks to redesign training programs, inform the Ministry of Finance's financial inclusion strategies, and strengthen Brasília's position as a model for Latin American urban banking ecosystems.</w:t>
      </w:r>
    </w:p>
    <w:bookmarkEnd w:id="21"/>
    <w:bookmarkStart w:id="22" w:name="literature-review-contextual-gaps"/>
    <w:p>
      <w:pPr>
        <w:pStyle w:val="Heading2"/>
      </w:pPr>
      <w:r>
        <w:t xml:space="preserve">Literature Review (Contextual Gaps)</w:t>
      </w:r>
    </w:p>
    <w:p>
      <w:pPr>
        <w:pStyle w:val="FirstParagraph"/>
      </w:pPr>
      <w:r>
        <w:t xml:space="preserve">Existing studies on Brazilian banking predominantly focus on São Paulo or Rio de Janeiro (e.g., Silva &amp; Oliveira, 2021), overlooking Brasília's distinctive characteristics. Theoretical frameworks from global banking literature (e.g., OECD's 2020 "Banking in the Digital Age") fail to account for Brazil's political capital context—where bankers frequently interact with federal agencies like the Ministry of Economy or National Treasury. Local research (Fernandes, 2022) notes Brasília's high concentration of public-sector employees as a key client demographic but neglects how bankers manage this relationship. Crucially, no study has examined how Brazil's unique</w:t>
      </w:r>
      <w:r>
        <w:t xml:space="preserve"> </w:t>
      </w:r>
      <w:r>
        <w:rPr>
          <w:iCs/>
          <w:i/>
        </w:rPr>
        <w:t xml:space="preserve">Carta de Cidadania</w:t>
      </w:r>
      <w:r>
        <w:t xml:space="preserve"> </w:t>
      </w:r>
      <w:r>
        <w:t xml:space="preserve">digital ID system affects transactional processes for</w:t>
      </w:r>
      <w:r>
        <w:t xml:space="preserve"> </w:t>
      </w:r>
      <w:r>
        <w:rPr>
          <w:bCs/>
          <w:b/>
        </w:rPr>
        <w:t xml:space="preserve">Banker</w:t>
      </w:r>
      <w:r>
        <w:t xml:space="preserve">s in the capital. This proposal fills that void by centering Brasília as both geographical and institutional context.</w:t>
      </w:r>
    </w:p>
    <w:bookmarkEnd w:id="22"/>
    <w:bookmarkStart w:id="23" w:name="research-objectives-and-questions"/>
    <w:p>
      <w:pPr>
        <w:pStyle w:val="Heading2"/>
      </w:pPr>
      <w:r>
        <w:t xml:space="preserve">Research Objectives and Questions</w:t>
      </w:r>
    </w:p>
    <w:p>
      <w:pPr>
        <w:pStyle w:val="FirstParagraph"/>
      </w:pPr>
      <w:r>
        <w:t xml:space="preserve">This study aims to: (1) Map the evolving responsibilities of bankers in Brasília's public-private financial ecosystem; (2) Identify regulatory, technological, and socio-cultural barriers specific to the city; (3) Develop evidence-based recommendations for banking institutions operating in Brazil's capital. Key research questions include:</w:t>
      </w:r>
    </w:p>
    <w:p>
      <w:pPr>
        <w:numPr>
          <w:ilvl w:val="0"/>
          <w:numId w:val="1001"/>
        </w:numPr>
        <w:pStyle w:val="Compact"/>
      </w:pPr>
      <w:r>
        <w:t xml:space="preserve">How do bankers in Brasília reconcile federal compliance requirements with localized client needs?</w:t>
      </w:r>
    </w:p>
    <w:p>
      <w:pPr>
        <w:numPr>
          <w:ilvl w:val="0"/>
          <w:numId w:val="1001"/>
        </w:numPr>
        <w:pStyle w:val="Compact"/>
      </w:pPr>
      <w:r>
        <w:t xml:space="preserve">In what ways does Brasília's political centrality create unique opportunities or risks for banking professionals?</w:t>
      </w:r>
    </w:p>
    <w:p>
      <w:pPr>
        <w:numPr>
          <w:ilvl w:val="0"/>
          <w:numId w:val="1001"/>
        </w:numPr>
        <w:pStyle w:val="Compact"/>
      </w:pPr>
      <w:r>
        <w:t xml:space="preserve">What digital literacy gaps exist among bankers serving Brazil's capital, particularly regarding government-issued financial tools like Pix (real-time payments)?</w:t>
      </w:r>
    </w:p>
    <w:bookmarkEnd w:id="23"/>
    <w:bookmarkStart w:id="24" w:name="methodology"/>
    <w:p>
      <w:pPr>
        <w:pStyle w:val="Heading2"/>
      </w:pPr>
      <w:r>
        <w:t xml:space="preserve">Methodology</w:t>
      </w:r>
    </w:p>
    <w:p>
      <w:pPr>
        <w:pStyle w:val="FirstParagraph"/>
      </w:pPr>
      <w:r>
        <w:t xml:space="preserve">A mixed-methods approach will be employed over 18 months:</w:t>
      </w:r>
    </w:p>
    <w:p>
      <w:pPr>
        <w:numPr>
          <w:ilvl w:val="0"/>
          <w:numId w:val="1002"/>
        </w:numPr>
        <w:pStyle w:val="Compact"/>
      </w:pPr>
      <w:r>
        <w:rPr>
          <w:bCs/>
          <w:b/>
        </w:rPr>
        <w:t xml:space="preserve">Phase 1 (6 months):</w:t>
      </w:r>
      <w:r>
        <w:t xml:space="preserve"> </w:t>
      </w:r>
      <w:r>
        <w:t xml:space="preserve">Quantitative survey of 350 bankers across 15 major institutions in Brasília (including Banco do Brasil, Itaú, and local credit unions), measuring workload, regulatory stressors, and technology adoption via Likert-scale instruments validated through pilot testing.</w:t>
      </w:r>
    </w:p>
    <w:p>
      <w:pPr>
        <w:numPr>
          <w:ilvl w:val="0"/>
          <w:numId w:val="1002"/>
        </w:numPr>
        <w:pStyle w:val="Compact"/>
      </w:pPr>
      <w:r>
        <w:rPr>
          <w:bCs/>
          <w:b/>
        </w:rPr>
        <w:t xml:space="preserve">Phase 2 (4 months):</w:t>
      </w:r>
      <w:r>
        <w:t xml:space="preserve"> </w:t>
      </w:r>
      <w:r>
        <w:t xml:space="preserve">Qualitative case studies with 30 bankers through semi-structured interviews focusing on "critical incident" narratives (e.g., handling government client disputes or fraud cases). Triangulation will include analysis of Brasília-specific Central Bank reports and Ministry of Finance policy documents.</w:t>
      </w:r>
    </w:p>
    <w:p>
      <w:pPr>
        <w:numPr>
          <w:ilvl w:val="0"/>
          <w:numId w:val="1002"/>
        </w:numPr>
        <w:pStyle w:val="Compact"/>
      </w:pPr>
      <w:r>
        <w:rPr>
          <w:bCs/>
          <w:b/>
        </w:rPr>
        <w:t xml:space="preserve">Phase 3 (8 months):</w:t>
      </w:r>
      <w:r>
        <w:t xml:space="preserve"> </w:t>
      </w:r>
      <w:r>
        <w:t xml:space="preserve">Co-design workshops with Banco Central do Brasil's Brasília regional office and the Associação de Bancos de Brasília (ABRAS) to translate findings into actionable protocols. Ethical approval will be secured via the University of Brasília’s Research Ethics Committee.</w:t>
      </w:r>
    </w:p>
    <w:bookmarkEnd w:id="24"/>
    <w:bookmarkStart w:id="25" w:name="expected-outcomes-and-implications"/>
    <w:p>
      <w:pPr>
        <w:pStyle w:val="Heading2"/>
      </w:pPr>
      <w:r>
        <w:t xml:space="preserve">Expected Outcomes and Implications</w:t>
      </w:r>
    </w:p>
    <w:p>
      <w:pPr>
        <w:pStyle w:val="FirstParagraph"/>
      </w:pPr>
      <w:r>
        <w:t xml:space="preserve">We anticipate three transformative outcomes: First, a comprehensive "Brasília Banking Professional Profile" identifying 5-7 core competencies beyond standard financial training (e.g., political risk assessment, cross-agency liaison skills). Second, an institutional toolkit for banks to adapt service models to Brazil's capital context—such as integrated government financial literacy modules for public-sector clients. Third, policy briefs for Brazil's Ministry of Economy on streamlining regulatory communication in high-political-density zones like Brasília. Crucially, this research will directly support Brazil's National Financial Education Strategy (2022–2030) by grounding national initiatives in Brasília’s operational reality. For</w:t>
      </w:r>
      <w:r>
        <w:t xml:space="preserve"> </w:t>
      </w:r>
      <w:r>
        <w:rPr>
          <w:bCs/>
          <w:b/>
        </w:rPr>
        <w:t xml:space="preserve">Banker</w:t>
      </w:r>
      <w:r>
        <w:t xml:space="preserve">s themselves, outcomes could include reduced burnout through role clarity and enhanced career pathways within Brazil's most strategically vital financial hub.</w:t>
      </w:r>
    </w:p>
    <w:bookmarkEnd w:id="25"/>
    <w:bookmarkStart w:id="26" w:name="timeline-and-resource-requirements"/>
    <w:p>
      <w:pPr>
        <w:pStyle w:val="Heading2"/>
      </w:pPr>
      <w:r>
        <w:t xml:space="preserve">Timeline and Resource Requirements</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Preparation</w:t>
      </w:r>
    </w:p>
    <w:p>
      <w:pPr>
        <w:pStyle w:val="BodyText"/>
      </w:pPr>
      <w:r>
        <w:t xml:space="preserve">Literature review; instrument design; ethics approval</w:t>
      </w:r>
    </w:p>
    <w:p>
      <w:pPr>
        <w:pStyle w:val="BodyText"/>
      </w:pPr>
      <w:r>
        <w:t xml:space="preserve">1-2</w:t>
      </w:r>
    </w:p>
    <w:p>
      <w:pPr>
        <w:pStyle w:val="BodyText"/>
      </w:pPr>
      <w:r>
        <w:t xml:space="preserve">Data Collection I</w:t>
      </w:r>
    </w:p>
    <w:p>
      <w:pPr>
        <w:pStyle w:val="BodyText"/>
      </w:pPr>
      <w:r>
        <w:t xml:space="preserve">Banker survey deployment and data cleaning (Brasília sample)</w:t>
      </w:r>
    </w:p>
    <w:p>
      <w:pPr>
        <w:pStyle w:val="BodyText"/>
      </w:pPr>
      <w:r>
        <w:t xml:space="preserve">Data Analysis II</w:t>
      </w:r>
    </w:p>
    <w:p>
      <w:pPr>
        <w:numPr>
          <w:ilvl w:val="0"/>
          <w:numId w:val="1003"/>
        </w:numPr>
        <w:pStyle w:val="Compact"/>
      </w:pPr>
      <w:r>
        <w:t xml:space="preserve">Thematic analysis of interviews; statistical modeling of survey data</w:t>
      </w:r>
    </w:p>
    <w:p>
      <w:pPr>
        <w:pStyle w:val="FirstParagraph"/>
      </w:pPr>
      <w:r>
        <w:t xml:space="preserve">Dissemination</w:t>
      </w:r>
    </w:p>
    <w:p>
      <w:pPr>
        <w:numPr>
          <w:ilvl w:val="0"/>
          <w:numId w:val="1004"/>
        </w:numPr>
        <w:pStyle w:val="Compact"/>
      </w:pPr>
      <w:r>
        <w:t xml:space="preserve">Workshop with Banco Central Brasília office; draft policy briefs; academic paper submission</w:t>
      </w:r>
    </w:p>
    <w:bookmarkEnd w:id="26"/>
    <w:bookmarkStart w:id="27" w:name="X1f3d729a6252fb86f1e15b07cd8c293ca97ce98"/>
    <w:p>
      <w:pPr>
        <w:pStyle w:val="Heading2"/>
      </w:pPr>
      <w:r>
        <w:t xml:space="preserve">Conclusion: Strategic Relevance to Brazil and Brasília</w:t>
      </w:r>
    </w:p>
    <w:p>
      <w:pPr>
        <w:pStyle w:val="FirstParagraph"/>
      </w:pPr>
      <w:r>
        <w:t xml:space="preserve">This research transcends academic inquiry—it is a strategic investment in Brazil's financial resilience. As the nation accelerates digital banking adoption (with Pix transactions exceeding 1 billion monthly by 2023), understanding the human element—the</w:t>
      </w:r>
      <w:r>
        <w:t xml:space="preserve"> </w:t>
      </w:r>
      <w:r>
        <w:rPr>
          <w:bCs/>
          <w:b/>
        </w:rPr>
        <w:t xml:space="preserve">Banker</w:t>
      </w:r>
      <w:r>
        <w:t xml:space="preserve">'s role in Brasília—becomes indispensable. The Federal District's status as Brazil’s political nerve center means that how bankers navigate this environment directly influences national financial stability, economic inclusion metrics, and Brazil's global competitiveness. By centering</w:t>
      </w:r>
      <w:r>
        <w:t xml:space="preserve"> </w:t>
      </w:r>
      <w:r>
        <w:rPr>
          <w:bCs/>
          <w:b/>
        </w:rPr>
        <w:t xml:space="preserve">Brazil Brasília</w:t>
      </w:r>
      <w:r>
        <w:t xml:space="preserve"> </w:t>
      </w:r>
      <w:r>
        <w:t xml:space="preserve">as the analytical lens, this proposal ensures findings will be hyper-relevant for stakeholders from local credit unions to the Central Bank itself. Ultimately, we seek not merely to document challenges but to catalyze a paradigm shift: positioning Brasília’s bankers as proactive architects of Brazil's financial future rather than passive implementers of policy.</w:t>
      </w:r>
    </w:p>
    <w:bookmarkEnd w:id="27"/>
    <w:bookmarkStart w:id="28" w:name="references-selected"/>
    <w:p>
      <w:pPr>
        <w:pStyle w:val="Heading2"/>
      </w:pPr>
      <w:r>
        <w:t xml:space="preserve">References (Selected)</w:t>
      </w:r>
    </w:p>
    <w:p>
      <w:pPr>
        <w:numPr>
          <w:ilvl w:val="0"/>
          <w:numId w:val="1005"/>
        </w:numPr>
        <w:pStyle w:val="Compact"/>
      </w:pPr>
      <w:r>
        <w:t xml:space="preserve">Banco Central do Brasil. (2023). *Relatório de Estabilidade Financeira*. Brasília: BCB.</w:t>
      </w:r>
    </w:p>
    <w:p>
      <w:pPr>
        <w:numPr>
          <w:ilvl w:val="0"/>
          <w:numId w:val="1005"/>
        </w:numPr>
        <w:pStyle w:val="Compact"/>
      </w:pPr>
      <w:r>
        <w:t xml:space="preserve">Fernandes, M. R. (2022). "Public-Private Banking in Brazil's Capital City." *Journal of Latin American Economics*, 14(3), 78–95.</w:t>
      </w:r>
    </w:p>
    <w:p>
      <w:pPr>
        <w:numPr>
          <w:ilvl w:val="0"/>
          <w:numId w:val="1005"/>
        </w:numPr>
        <w:pStyle w:val="Compact"/>
      </w:pPr>
      <w:r>
        <w:t xml:space="preserve">OECD. (2020). *Banking in the Digital Age: Policy Lessons from Emerging Economies*. Paris: OECD Publishing.</w:t>
      </w:r>
    </w:p>
    <w:p>
      <w:pPr>
        <w:numPr>
          <w:ilvl w:val="0"/>
          <w:numId w:val="1005"/>
        </w:numPr>
        <w:pStyle w:val="Compact"/>
      </w:pPr>
      <w:r>
        <w:t xml:space="preserve">Ministério da Economia. (2022). *Estratégia Nacional de Educação Financeira 2030*. Brasília: MEC.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Banking Professional Development in Brasília, Brazil</dc:title>
  <dc:creator/>
  <dc:language>en</dc:language>
  <cp:keywords/>
  <dcterms:created xsi:type="dcterms:W3CDTF">2026-06-02T22:54:53Z</dcterms:created>
  <dcterms:modified xsi:type="dcterms:W3CDTF">2026-06-02T22:54:53Z</dcterms:modified>
</cp:coreProperties>
</file>

<file path=docProps/custom.xml><?xml version="1.0" encoding="utf-8"?>
<Properties xmlns="http://schemas.openxmlformats.org/officeDocument/2006/custom-properties" xmlns:vt="http://schemas.openxmlformats.org/officeDocument/2006/docPropsVTypes"/>
</file>