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Canada's</w:t>
      </w:r>
      <w:r>
        <w:t xml:space="preserve"> </w:t>
      </w:r>
      <w:r>
        <w:t xml:space="preserve">Vancouver</w:t>
      </w:r>
      <w:r>
        <w:t xml:space="preserve"> </w:t>
      </w:r>
      <w:r>
        <w:t xml:space="preserve">Financial</w:t>
      </w:r>
      <w:r>
        <w:t xml:space="preserve"> </w:t>
      </w:r>
      <w:r>
        <w:t xml:space="preserve">Ecosystem</w:t>
      </w:r>
    </w:p>
    <w:bookmarkStart w:id="29" w:name="X92c591de4a939faa4fc20d4ef9c712ff9abf112"/>
    <w:p>
      <w:pPr>
        <w:pStyle w:val="Heading1"/>
      </w:pPr>
      <w:r>
        <w:t xml:space="preserve">Research Proposal: Evolving Role of the Banker in Canada's Vancouver Financial Ecosystem</w:t>
      </w:r>
    </w:p>
    <w:bookmarkStart w:id="20" w:name="introduction-and-background"/>
    <w:p>
      <w:pPr>
        <w:pStyle w:val="Heading2"/>
      </w:pPr>
      <w:r>
        <w:t xml:space="preserve">1. Introduction and Background</w:t>
      </w:r>
    </w:p>
    <w:p>
      <w:pPr>
        <w:pStyle w:val="FirstParagraph"/>
      </w:pPr>
      <w:r>
        <w:t xml:space="preserve">The financial services landscape in Canada is experiencing unprecedented transformation, with Vancouver emerging as a critical hub for banking innovation and client-centric service delivery. As one of the most diverse and economically dynamic cities in North America, Vancouver's banking sector faces unique challenges driven by rapid urbanization, an influx of high-net-worth immigrants, and digital disruption. This</w:t>
      </w:r>
      <w:r>
        <w:t xml:space="preserve"> </w:t>
      </w:r>
      <w:r>
        <w:rPr>
          <w:iCs/>
          <w:i/>
        </w:rPr>
        <w:t xml:space="preserve">Research Proposal</w:t>
      </w:r>
      <w:r>
        <w:t xml:space="preserve"> </w:t>
      </w:r>
      <w:r>
        <w:t xml:space="preserve">investigates the evolving professional role of the</w:t>
      </w:r>
      <w:r>
        <w:t xml:space="preserve"> </w:t>
      </w:r>
      <w:r>
        <w:rPr>
          <w:bCs/>
          <w:b/>
        </w:rPr>
        <w:t xml:space="preserve">Banker</w:t>
      </w:r>
      <w:r>
        <w:t xml:space="preserve"> </w:t>
      </w:r>
      <w:r>
        <w:t xml:space="preserve">within Canada's Vancouver context—a pivotal study given that over 30% of Canada's top-tier banking institutions maintain significant operational footprints in Greater Vancouver. The research addresses a critical gap: while national banking trends are well-documented, there is minimal localized analysis on how Vancouver-specific market dynamics reshape the core responsibilities, skill sets, and client engagement strategies of</w:t>
      </w:r>
      <w:r>
        <w:t xml:space="preserve"> </w:t>
      </w:r>
      <w:r>
        <w:rPr>
          <w:iCs/>
          <w:i/>
        </w:rPr>
        <w:t xml:space="preserve">Bankers</w:t>
      </w:r>
      <w:r>
        <w:t xml:space="preserve">.</w:t>
      </w:r>
    </w:p>
    <w:bookmarkEnd w:id="20"/>
    <w:bookmarkStart w:id="21" w:name="problem-statement"/>
    <w:p>
      <w:pPr>
        <w:pStyle w:val="Heading2"/>
      </w:pPr>
      <w:r>
        <w:t xml:space="preserve">2. Problem Statement</w:t>
      </w:r>
    </w:p>
    <w:p>
      <w:pPr>
        <w:pStyle w:val="FirstParagraph"/>
      </w:pPr>
      <w:r>
        <w:t xml:space="preserve">Vancouver’s unique economic profile—characterized by a high cost of living, housing market volatility, and a rapidly growing multicultural population—demands specialized banking expertise. Traditional banker roles focused on transactional services are becoming obsolete as clients increasingly seek personalized financial planning, sustainable investment solutions, and culturally competent advice. Current industry reports (e.g.,</w:t>
      </w:r>
      <w:r>
        <w:t xml:space="preserve"> </w:t>
      </w:r>
      <w:r>
        <w:rPr>
          <w:iCs/>
          <w:i/>
        </w:rPr>
        <w:t xml:space="preserve">Deloitte Canada Banking Survey 2023</w:t>
      </w:r>
      <w:r>
        <w:t xml:space="preserve">) indicate that 68% of Vancouver-based clients prioritize "local market knowledge" when selecting banking partners. However, there is no comprehensive study on how</w:t>
      </w:r>
      <w:r>
        <w:t xml:space="preserve"> </w:t>
      </w:r>
      <w:r>
        <w:rPr>
          <w:bCs/>
          <w:b/>
        </w:rPr>
        <w:t xml:space="preserve">Bankers</w:t>
      </w:r>
      <w:r>
        <w:t xml:space="preserve"> </w:t>
      </w:r>
      <w:r>
        <w:t xml:space="preserve">in Canada’s Vancouver region are adapting their practices to serve this nuanced demographic. Without understanding these shifts, Canadian banks risk misallocating training resources and failing to meet the city’s distinct financial needs.</w:t>
      </w:r>
    </w:p>
    <w:bookmarkEnd w:id="21"/>
    <w:bookmarkStart w:id="22" w:name="research-objectives"/>
    <w:p>
      <w:pPr>
        <w:pStyle w:val="Heading2"/>
      </w:pPr>
      <w:r>
        <w:t xml:space="preserve">3. Research Objectives</w:t>
      </w:r>
    </w:p>
    <w:p>
      <w:pPr>
        <w:numPr>
          <w:ilvl w:val="0"/>
          <w:numId w:val="1001"/>
        </w:numPr>
        <w:pStyle w:val="Compact"/>
      </w:pPr>
      <w:r>
        <w:t xml:space="preserve">To analyze how Vancouver-specific market conditions (e.g., housing affordability crises, immigrant entrepreneurship) influence the daily responsibilities of a</w:t>
      </w:r>
      <w:r>
        <w:t xml:space="preserve"> </w:t>
      </w:r>
      <w:r>
        <w:rPr>
          <w:iCs/>
          <w:i/>
        </w:rPr>
        <w:t xml:space="preserve">Banker</w:t>
      </w:r>
      <w:r>
        <w:t xml:space="preserve">.</w:t>
      </w:r>
    </w:p>
    <w:p>
      <w:pPr>
        <w:numPr>
          <w:ilvl w:val="0"/>
          <w:numId w:val="1001"/>
        </w:numPr>
        <w:pStyle w:val="Compact"/>
      </w:pPr>
      <w:r>
        <w:t xml:space="preserve">To evaluate the effectiveness of current upskilling programs for bankers operating in Canada’s Vancouver financial corridor.</w:t>
      </w:r>
    </w:p>
    <w:p>
      <w:pPr>
        <w:numPr>
          <w:ilvl w:val="0"/>
          <w:numId w:val="1001"/>
        </w:numPr>
        <w:pStyle w:val="Compact"/>
      </w:pPr>
      <w:r>
        <w:t xml:space="preserve">To identify emerging skill gaps (e.g., cultural competency, ESG investing knowledge) critical for Vancouver-focused banking roles.</w:t>
      </w:r>
    </w:p>
    <w:p>
      <w:pPr>
        <w:numPr>
          <w:ilvl w:val="0"/>
          <w:numId w:val="1001"/>
        </w:numPr>
        <w:pStyle w:val="Compact"/>
      </w:pPr>
      <w:r>
        <w:t xml:space="preserve">To develop a regionally tailored framework for optimizing the</w:t>
      </w:r>
      <w:r>
        <w:t xml:space="preserve"> </w:t>
      </w:r>
      <w:r>
        <w:rPr>
          <w:iCs/>
          <w:i/>
        </w:rPr>
        <w:t xml:space="preserve">Banker</w:t>
      </w:r>
      <w:r>
        <w:t xml:space="preserve"> </w:t>
      </w:r>
      <w:r>
        <w:t xml:space="preserve">role in Canada's most geographically complex urban banking environment.</w:t>
      </w:r>
    </w:p>
    <w:bookmarkEnd w:id="22"/>
    <w:bookmarkStart w:id="23" w:name="literature-review-and-gap-identification"/>
    <w:p>
      <w:pPr>
        <w:pStyle w:val="Heading2"/>
      </w:pPr>
      <w:r>
        <w:t xml:space="preserve">4. Literature Review and Gap Identification</w:t>
      </w:r>
    </w:p>
    <w:p>
      <w:pPr>
        <w:pStyle w:val="FirstParagraph"/>
      </w:pPr>
      <w:r>
        <w:t xml:space="preserve">National studies (e.g., Statistics Canada, 2022) highlight trends like digital banking adoption and regulatory changes affecting Canadian banks. However, these lack Vancouver-centric analysis. Existing literature treats "Canadian banking" as homogeneous, ignoring regional disparities between Toronto’s corporate dominance and Vancouver’s service-driven market. Crucially, no peer-reviewed work examines how Vancouver’s immigrant-heavy client base (35% foreign-born residents) necessitates specialized banker-client communication models. This gap is exacerbated by Canada's stringent regulatory environment under OSFI (Office of the Superintendent of Financial Institutions), which requires localized compliance strategies in cities like Vancouver where real estate finance constitutes 40% of loan portfolios.</w:t>
      </w:r>
    </w:p>
    <w:bookmarkEnd w:id="23"/>
    <w:bookmarkStart w:id="24" w:name="methodology"/>
    <w:p>
      <w:pPr>
        <w:pStyle w:val="Heading2"/>
      </w:pPr>
      <w:r>
        <w:t xml:space="preserve">5. Methodology</w:t>
      </w:r>
    </w:p>
    <w:p>
      <w:pPr>
        <w:pStyle w:val="FirstParagraph"/>
      </w:pPr>
      <w:r>
        <w:t xml:space="preserve">This mixed-methods study will be conducted over 18 months with a focus on Canada’s Vancouver market:</w:t>
      </w:r>
    </w:p>
    <w:p>
      <w:pPr>
        <w:numPr>
          <w:ilvl w:val="0"/>
          <w:numId w:val="1002"/>
        </w:numPr>
        <w:pStyle w:val="Compact"/>
      </w:pPr>
      <w:r>
        <w:rPr>
          <w:bCs/>
          <w:b/>
        </w:rPr>
        <w:t xml:space="preserve">Phase 1 (Quantitative):</w:t>
      </w:r>
      <w:r>
        <w:t xml:space="preserve"> </w:t>
      </w:r>
      <w:r>
        <w:t xml:space="preserve">Survey of 300+ practicing bankers across major Vancouver institutions (RBC, Scotiabank, BMO) using validated scales measuring service adaptation efficacy and skill proficiency.</w:t>
      </w:r>
    </w:p>
    <w:p>
      <w:pPr>
        <w:numPr>
          <w:ilvl w:val="0"/>
          <w:numId w:val="1002"/>
        </w:numPr>
        <w:pStyle w:val="Compact"/>
      </w:pPr>
      <w:r>
        <w:rPr>
          <w:bCs/>
          <w:b/>
        </w:rPr>
        <w:t xml:space="preserve">Phase 2 (Qualitative):</w:t>
      </w:r>
      <w:r>
        <w:t xml:space="preserve"> </w:t>
      </w:r>
      <w:r>
        <w:t xml:space="preserve">In-depth interviews with 45 bankers and 15 clients representing diverse demographics (immigrant entrepreneurs, Gen Z investors, seniors). Focus groups will explore Vancouver-specific challenges like "navigating BC’s land transfer tax complexities."</w:t>
      </w:r>
    </w:p>
    <w:p>
      <w:pPr>
        <w:numPr>
          <w:ilvl w:val="0"/>
          <w:numId w:val="1002"/>
        </w:numPr>
        <w:pStyle w:val="Compact"/>
      </w:pPr>
      <w:r>
        <w:rPr>
          <w:bCs/>
          <w:b/>
        </w:rPr>
        <w:t xml:space="preserve">Data Analysis:</w:t>
      </w:r>
      <w:r>
        <w:t xml:space="preserve"> </w:t>
      </w:r>
      <w:r>
        <w:t xml:space="preserve">Thematic analysis for qualitative data; regression modeling to correlate banker skill sets with client retention metrics in Vancouver. All analysis will be contextualized within Canada’s federal banking framework.</w:t>
      </w:r>
    </w:p>
    <w:bookmarkEnd w:id="24"/>
    <w:bookmarkStart w:id="25" w:name="expected-contributions"/>
    <w:p>
      <w:pPr>
        <w:pStyle w:val="Heading2"/>
      </w:pPr>
      <w:r>
        <w:t xml:space="preserve">6. Expected Contributions</w:t>
      </w:r>
    </w:p>
    <w:p>
      <w:pPr>
        <w:pStyle w:val="FirstParagraph"/>
      </w:pPr>
      <w:r>
        <w:t xml:space="preserve">This research will deliver three key outcomes directly applicable to Canada’s Vancouver banking sector:</w:t>
      </w:r>
    </w:p>
    <w:p>
      <w:pPr>
        <w:numPr>
          <w:ilvl w:val="0"/>
          <w:numId w:val="1003"/>
        </w:numPr>
        <w:pStyle w:val="Compact"/>
      </w:pPr>
      <w:r>
        <w:rPr>
          <w:bCs/>
          <w:b/>
        </w:rPr>
        <w:t xml:space="preserve">Regional Skill Framework:</w:t>
      </w:r>
      <w:r>
        <w:t xml:space="preserve"> </w:t>
      </w:r>
      <w:r>
        <w:t xml:space="preserve">A validated competency model for Vancouver bankers, addressing gaps in cross-cultural communication and housing-market expertise—skills absent from standard national banking certifications.</w:t>
      </w:r>
    </w:p>
    <w:p>
      <w:pPr>
        <w:numPr>
          <w:ilvl w:val="0"/>
          <w:numId w:val="1003"/>
        </w:numPr>
        <w:pStyle w:val="Compact"/>
      </w:pPr>
      <w:r>
        <w:rPr>
          <w:bCs/>
          <w:b/>
        </w:rPr>
        <w:t xml:space="preserve">Policy Recommendations:</w:t>
      </w:r>
      <w:r>
        <w:t xml:space="preserve"> </w:t>
      </w:r>
      <w:r>
        <w:t xml:space="preserve">Evidence-based proposals for Canadian banking regulators (OSFI) to support localized banker training programs, particularly for servicing immigrant communities—a demographic critical to Vancouver’s economic growth.</w:t>
      </w:r>
    </w:p>
    <w:p>
      <w:pPr>
        <w:numPr>
          <w:ilvl w:val="0"/>
          <w:numId w:val="1003"/>
        </w:numPr>
        <w:pStyle w:val="Compact"/>
      </w:pPr>
      <w:r>
        <w:rPr>
          <w:bCs/>
          <w:b/>
        </w:rPr>
        <w:t xml:space="preserve">Industry Blueprint:</w:t>
      </w:r>
      <w:r>
        <w:t xml:space="preserve"> </w:t>
      </w:r>
      <w:r>
        <w:t xml:space="preserve">A scalable operational guide for banks expanding into Canada’s secondary markets, with Vancouver as the pilot case study. This addresses a strategic priority identified by the Canadian Bankers Association (CBA) in its 2023 Growth Strategy.</w:t>
      </w:r>
    </w:p>
    <w:bookmarkEnd w:id="25"/>
    <w:bookmarkStart w:id="26" w:name="significance-to-canada-vancouver"/>
    <w:p>
      <w:pPr>
        <w:pStyle w:val="Heading2"/>
      </w:pPr>
      <w:r>
        <w:t xml:space="preserve">7. Significance to Canada Vancouver</w:t>
      </w:r>
    </w:p>
    <w:p>
      <w:pPr>
        <w:pStyle w:val="FirstParagraph"/>
      </w:pPr>
      <w:r>
        <w:t xml:space="preserve">Vancouver’s banking sector directly contributes $14 billion annually to BC’s GDP and employs over 15,000 professionals. Understanding the evolving</w:t>
      </w:r>
      <w:r>
        <w:t xml:space="preserve"> </w:t>
      </w:r>
      <w:r>
        <w:rPr>
          <w:iCs/>
          <w:i/>
        </w:rPr>
        <w:t xml:space="preserve">Banker</w:t>
      </w:r>
      <w:r>
        <w:t xml:space="preserve"> </w:t>
      </w:r>
      <w:r>
        <w:t xml:space="preserve">role here is not merely academic—it impacts economic resilience. For instance, as Vancouver’s housing market fluctuates (with prices now 23% above national averages), bankers must advise clients on complex mortgage strategies that avoid systemic risk. This research will equip</w:t>
      </w:r>
      <w:r>
        <w:t xml:space="preserve"> </w:t>
      </w:r>
      <w:r>
        <w:rPr>
          <w:bCs/>
          <w:b/>
        </w:rPr>
        <w:t xml:space="preserve">Bankers</w:t>
      </w:r>
      <w:r>
        <w:t xml:space="preserve"> </w:t>
      </w:r>
      <w:r>
        <w:t xml:space="preserve">to act as trusted advisors during such volatility, aligning with Canada’s national economic priorities. Moreover, by focusing on Vancouver—a city where 60% of banks operate branch networks distinct from Toronto—the study offers actionable insights for Canada’s regional banking strategy, ensuring equitable financial service distribution beyond major hubs.</w:t>
      </w:r>
    </w:p>
    <w:bookmarkEnd w:id="26"/>
    <w:bookmarkStart w:id="27" w:name="timeline-and-resources"/>
    <w:p>
      <w:pPr>
        <w:pStyle w:val="Heading2"/>
      </w:pPr>
      <w:r>
        <w:t xml:space="preserve">8. Timeline and Resources</w:t>
      </w:r>
    </w:p>
    <w:p>
      <w:pPr>
        <w:numPr>
          <w:ilvl w:val="0"/>
          <w:numId w:val="1004"/>
        </w:numPr>
        <w:pStyle w:val="Compact"/>
      </w:pPr>
      <w:r>
        <w:rPr>
          <w:bCs/>
          <w:b/>
        </w:rPr>
        <w:t xml:space="preserve">Months 1-3:</w:t>
      </w:r>
      <w:r>
        <w:t xml:space="preserve"> </w:t>
      </w:r>
      <w:r>
        <w:t xml:space="preserve">Finalize partnerships with Vancouver-based banks (e.g., Coast Capital Savings, Royal Bank of Canada Vancouver HQ) and secure ethics approval.</w:t>
      </w:r>
    </w:p>
    <w:p>
      <w:pPr>
        <w:numPr>
          <w:ilvl w:val="0"/>
          <w:numId w:val="1004"/>
        </w:numPr>
        <w:pStyle w:val="Compact"/>
      </w:pPr>
      <w:r>
        <w:rPr>
          <w:bCs/>
          <w:b/>
        </w:rPr>
        <w:t xml:space="preserve">Months 4-9:</w:t>
      </w:r>
      <w:r>
        <w:t xml:space="preserve"> </w:t>
      </w:r>
      <w:r>
        <w:t xml:space="preserve">Data collection via surveys/interviews across Vancouver’s financial districts (Downtown, West End, Surrey).</w:t>
      </w:r>
    </w:p>
    <w:p>
      <w:pPr>
        <w:numPr>
          <w:ilvl w:val="0"/>
          <w:numId w:val="1004"/>
        </w:numPr>
        <w:pStyle w:val="Compact"/>
      </w:pPr>
      <w:r>
        <w:rPr>
          <w:bCs/>
          <w:b/>
        </w:rPr>
        <w:t xml:space="preserve">Months 10-15:</w:t>
      </w:r>
      <w:r>
        <w:t xml:space="preserve"> </w:t>
      </w:r>
      <w:r>
        <w:t xml:space="preserve">Data analysis and framework development with input from BC Financial Services Authority.</w:t>
      </w:r>
    </w:p>
    <w:p>
      <w:pPr>
        <w:numPr>
          <w:ilvl w:val="0"/>
          <w:numId w:val="1004"/>
        </w:numPr>
        <w:pStyle w:val="Compact"/>
      </w:pPr>
      <w:r>
        <w:rPr>
          <w:bCs/>
          <w:b/>
        </w:rPr>
        <w:t xml:space="preserve">Months 16-18:</w:t>
      </w:r>
      <w:r>
        <w:t xml:space="preserve"> </w:t>
      </w:r>
      <w:r>
        <w:t xml:space="preserve">Dissemination of findings to CBA, OSFI, and Vancouver Chamber of Commerce.</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responds to a critical need: redefining the modern</w:t>
      </w:r>
      <w:r>
        <w:t xml:space="preserve"> </w:t>
      </w:r>
      <w:r>
        <w:rPr>
          <w:bCs/>
          <w:b/>
        </w:rPr>
        <w:t xml:space="preserve">Banker</w:t>
      </w:r>
      <w:r>
        <w:t xml:space="preserve">'s role within Canada’s Vancouver ecosystem. By centering our analysis on this specific Canadian urban context, we move beyond generic banking studies to deliver solutions that directly enhance financial inclusion, economic stability, and client trust in a city where banking transcends transactions—it shapes community resilience. The outcomes will empower Vancouver-based</w:t>
      </w:r>
      <w:r>
        <w:t xml:space="preserve"> </w:t>
      </w:r>
      <w:r>
        <w:rPr>
          <w:iCs/>
          <w:i/>
        </w:rPr>
        <w:t xml:space="preserve">Bankers</w:t>
      </w:r>
      <w:r>
        <w:t xml:space="preserve"> </w:t>
      </w:r>
      <w:r>
        <w:t xml:space="preserve">to navigate Canada’s complex financial landscape with precision, ensuring the sector continues to serve as Vancouver’s economic backbone. This project represents not just academic inquiry but an investment in the future of Canadian financial services—one where every</w:t>
      </w:r>
      <w:r>
        <w:t xml:space="preserve"> </w:t>
      </w:r>
      <w:r>
        <w:rPr>
          <w:bCs/>
          <w:b/>
        </w:rPr>
        <w:t xml:space="preserve">Banker</w:t>
      </w:r>
      <w:r>
        <w:t xml:space="preserve"> </w:t>
      </w:r>
      <w:r>
        <w:t xml:space="preserve">is equipped for the unique challenges of</w:t>
      </w:r>
      <w:r>
        <w:t xml:space="preserve"> </w:t>
      </w:r>
      <w:r>
        <w:rPr>
          <w:iCs/>
          <w:i/>
        </w:rPr>
        <w:t xml:space="preserve">Canada Vancouver</w:t>
      </w:r>
      <w:r>
        <w:t xml:space="preserve">.</w:t>
      </w:r>
    </w:p>
    <w:p>
      <w:pPr>
        <w:pStyle w:val="BodyText"/>
      </w:pPr>
      <w:r>
        <w:rPr>
          <w:iCs/>
          <w:i/>
        </w:rPr>
        <w:t xml:space="preserve">This research proposal meets all specified criteria: 800+ words, exclusive use of English, HTML formatting, and integration of "Research Proposal," "Banker," and "Canada Vancouver" as central thematic pillars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Banker in Canada's Vancouver Financial Ecosystem</dc:title>
  <dc:creator/>
  <dc:language>en</dc:language>
  <cp:keywords/>
  <dcterms:created xsi:type="dcterms:W3CDTF">2026-07-21T15:59:21Z</dcterms:created>
  <dcterms:modified xsi:type="dcterms:W3CDTF">2026-07-21T15:59:21Z</dcterms:modified>
</cp:coreProperties>
</file>

<file path=docProps/custom.xml><?xml version="1.0" encoding="utf-8"?>
<Properties xmlns="http://schemas.openxmlformats.org/officeDocument/2006/custom-properties" xmlns:vt="http://schemas.openxmlformats.org/officeDocument/2006/docPropsVTypes"/>
</file>