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China</w:t>
      </w:r>
      <w:r>
        <w:t xml:space="preserve"> </w:t>
      </w:r>
      <w:r>
        <w:t xml:space="preserve">Guangzhou's</w:t>
      </w:r>
      <w:r>
        <w:t xml:space="preserve"> </w:t>
      </w:r>
      <w:r>
        <w:t xml:space="preserve">Financial</w:t>
      </w:r>
      <w:r>
        <w:t xml:space="preserve"> </w:t>
      </w:r>
      <w:r>
        <w:t xml:space="preserve">Ecosystem</w:t>
      </w:r>
    </w:p>
    <w:bookmarkStart w:id="28" w:name="X4894e0fce53ce1644ec19e85f697cb006b6685d"/>
    <w:p>
      <w:pPr>
        <w:pStyle w:val="Heading1"/>
      </w:pPr>
      <w:r>
        <w:t xml:space="preserve">Research Proposal: Adapting Banking Leadership for Digital Transformation in China Guangzhou</w:t>
      </w:r>
    </w:p>
    <w:bookmarkStart w:id="20" w:name="i.-introduction-and-context"/>
    <w:p>
      <w:pPr>
        <w:pStyle w:val="Heading2"/>
      </w:pPr>
      <w:r>
        <w:t xml:space="preserve">I. Introduction and Context</w:t>
      </w:r>
    </w:p>
    <w:p>
      <w:pPr>
        <w:pStyle w:val="FirstParagraph"/>
      </w:pPr>
      <w:r>
        <w:t xml:space="preserve">This comprehensive Research Proposal examines the critical transformation of the banker's role within China Guangzhou's rapidly evolving financial landscape. As one of China’s most dynamic economic hubs and a key node in the Greater Bay Area initiative, Guangzhou represents a microcosm of modern banking challenges and opportunities. With over 23 major domestic and international banks establishing regional headquarters in Guangzhou, the city serves as a pivotal testing ground for next-generation banking practices. This study directly addresses the urgent need to redefine professional competencies for bankers operating in this high-stakes environment, where digital innovation, regulatory shifts, and cross-border trade demands are converging at unprecedented speed.</w:t>
      </w:r>
    </w:p>
    <w:bookmarkEnd w:id="20"/>
    <w:bookmarkStart w:id="21" w:name="ii.-problem-statement"/>
    <w:p>
      <w:pPr>
        <w:pStyle w:val="Heading2"/>
      </w:pPr>
      <w:r>
        <w:t xml:space="preserve">II. Problem Statement</w:t>
      </w:r>
    </w:p>
    <w:p>
      <w:pPr>
        <w:pStyle w:val="FirstParagraph"/>
      </w:pPr>
      <w:r>
        <w:t xml:space="preserve">Traditional banking models are being fundamentally disrupted by China’s national fintech strategy and Guangzhou’s strategic position as a gateway to ASEAN markets. Current industry data indicates that 68% of bankers in China Guangzhou report inadequate training for digital-first customer engagement (China Banking Association, 2023). This skills gap manifests in three critical areas: 1) inability to leverage AI-driven credit assessment tools, 2) limited cross-cultural negotiation capabilities for Southeast Asian trade financing, and 3) insufficient understanding of blockchain-based supply chain finance – a rapidly growing sector in Guangzhou’s industrial clusters. Without targeted professional development, bankers risk becoming obsolete as financial services migrate toward embedded finance models. This Research Proposal directly confronts this institutional challenge through empirical investigation.</w:t>
      </w:r>
    </w:p>
    <w:bookmarkEnd w:id="21"/>
    <w:bookmarkStart w:id="22" w:name="iii.-literature-review-and-knowledge-gap"/>
    <w:p>
      <w:pPr>
        <w:pStyle w:val="Heading2"/>
      </w:pPr>
      <w:r>
        <w:t xml:space="preserve">III. Literature Review and Knowledge Gap</w:t>
      </w:r>
    </w:p>
    <w:p>
      <w:pPr>
        <w:pStyle w:val="FirstParagraph"/>
      </w:pPr>
      <w:r>
        <w:t xml:space="preserve">Existing scholarship on banking transformation predominantly focuses on Beijing or Shanghai, overlooking Guangzhou’s unique contextual advantages: its historical role as China’s first treaty port, proximity to Hong Kong (150km), and specialization in manufacturing finance. While Zhang &amp; Li (2022) analyzed digital adoption in Shanghai banks, their framework failed to account for Guangzhou’s 37% higher ASEAN trade volume with mainland China. Similarly, Wang’s study on "banker competency frameworks" (2021) lacked geographical specificity for southern Chinese banking hubs. This Research Proposal bridges this gap by centering on China Guangzhou as the primary case study, investigating how local regulatory nuances – such as the Guangdong-Fujian Free Trade Zone policies – uniquely shape banker responsibilities.</w:t>
      </w:r>
    </w:p>
    <w:bookmarkEnd w:id="22"/>
    <w:bookmarkStart w:id="23" w:name="iv.-research-objectives"/>
    <w:p>
      <w:pPr>
        <w:pStyle w:val="Heading2"/>
      </w:pPr>
      <w:r>
        <w:t xml:space="preserve">IV. Research Objectives</w:t>
      </w:r>
    </w:p>
    <w:p>
      <w:pPr>
        <w:numPr>
          <w:ilvl w:val="0"/>
          <w:numId w:val="1001"/>
        </w:numPr>
        <w:pStyle w:val="Compact"/>
      </w:pPr>
      <w:r>
        <w:t xml:space="preserve">To map the evolving skillset requirements of bankers in China Guangzhou’s post-pandemic financial ecosystem</w:t>
      </w:r>
    </w:p>
    <w:p>
      <w:pPr>
        <w:numPr>
          <w:ilvl w:val="0"/>
          <w:numId w:val="1001"/>
        </w:numPr>
        <w:pStyle w:val="Compact"/>
      </w:pPr>
      <w:r>
        <w:t xml:space="preserve">To analyze how Guangzhou-specific trade corridors (e.g., Yiwu-Guangzhou logistics networks) impact banker-client relationship management</w:t>
      </w:r>
    </w:p>
    <w:p>
      <w:pPr>
        <w:numPr>
          <w:ilvl w:val="0"/>
          <w:numId w:val="1001"/>
        </w:numPr>
        <w:pStyle w:val="Compact"/>
      </w:pPr>
      <w:r>
        <w:t xml:space="preserve">To develop a culturally attuned competency framework for bankers serving the Pearl River Delta's SME sector</w:t>
      </w:r>
    </w:p>
    <w:p>
      <w:pPr>
        <w:numPr>
          <w:ilvl w:val="0"/>
          <w:numId w:val="1001"/>
        </w:numPr>
        <w:pStyle w:val="Compact"/>
      </w:pPr>
      <w:r>
        <w:t xml:space="preserve">To evaluate the effectiveness of existing professional development programs for bankers in China Guangzhou</w:t>
      </w:r>
    </w:p>
    <w:bookmarkEnd w:id="23"/>
    <w:bookmarkStart w:id="24" w:name="v.-methodology"/>
    <w:p>
      <w:pPr>
        <w:pStyle w:val="Heading2"/>
      </w:pPr>
      <w:r>
        <w:t xml:space="preserve">V. Methodology</w:t>
      </w:r>
    </w:p>
    <w:p>
      <w:pPr>
        <w:pStyle w:val="FirstParagraph"/>
      </w:pPr>
      <w:r>
        <w:t xml:space="preserve">This mixed-methods Research Proposal employs a three-phase approach tailored to Guangzhou’s banking context:</w:t>
      </w:r>
    </w:p>
    <w:p>
      <w:pPr>
        <w:numPr>
          <w:ilvl w:val="0"/>
          <w:numId w:val="1002"/>
        </w:numPr>
        <w:pStyle w:val="Compact"/>
      </w:pPr>
      <w:r>
        <w:rPr>
          <w:bCs/>
          <w:b/>
        </w:rPr>
        <w:t xml:space="preserve">Phase 1 (Quantitative):</w:t>
      </w:r>
      <w:r>
        <w:t xml:space="preserve"> </w:t>
      </w:r>
      <w:r>
        <w:t xml:space="preserve">Survey of 300+ bankers across 47 financial institutions in China Guangzhou (including ICBC, CCB, and foreign banks like HSBC), measuring proficiency in digital tools, ASEAN trade finance knowledge, and regulatory compliance awareness using Likert-scale instruments.</w:t>
      </w:r>
    </w:p>
    <w:p>
      <w:pPr>
        <w:numPr>
          <w:ilvl w:val="0"/>
          <w:numId w:val="1002"/>
        </w:numPr>
        <w:pStyle w:val="Compact"/>
      </w:pPr>
      <w:r>
        <w:rPr>
          <w:bCs/>
          <w:b/>
        </w:rPr>
        <w:t xml:space="preserve">Phase 2 (Qualitative):</w:t>
      </w:r>
      <w:r>
        <w:t xml:space="preserve"> </w:t>
      </w:r>
      <w:r>
        <w:t xml:space="preserve">Semi-structured interviews with 30 senior bankers at key institutions (e.g., Guangdong Development Bank, China Merchants Bank Guangzhou) exploring challenges in implementing digital transformation within Guangzhou’s specific regulatory sandbox environment.</w:t>
      </w:r>
    </w:p>
    <w:p>
      <w:pPr>
        <w:numPr>
          <w:ilvl w:val="0"/>
          <w:numId w:val="1002"/>
        </w:numPr>
        <w:pStyle w:val="Compact"/>
      </w:pPr>
      <w:r>
        <w:rPr>
          <w:bCs/>
          <w:b/>
        </w:rPr>
        <w:t xml:space="preserve">Phase 3 (Action Research):</w:t>
      </w:r>
      <w:r>
        <w:t xml:space="preserve"> </w:t>
      </w:r>
      <w:r>
        <w:t xml:space="preserve">Co-design of a competency module with the Guangzhou Banking Association, piloted across 50 bankers at selected branches. This will directly address the "Banker" skill gap through contextualized learning on Guangzhou’s industrial ecosystem – including case studies on Canton Fair trade financing and cross-border digital yuan trials.</w:t>
      </w:r>
    </w:p>
    <w:bookmarkEnd w:id="24"/>
    <w:bookmarkStart w:id="25" w:name="vi.-expected-outcomes-and-significance"/>
    <w:p>
      <w:pPr>
        <w:pStyle w:val="Heading2"/>
      </w:pPr>
      <w:r>
        <w:t xml:space="preserve">VI. Expected Outcomes and Significance</w:t>
      </w:r>
    </w:p>
    <w:p>
      <w:pPr>
        <w:pStyle w:val="FirstParagraph"/>
      </w:pPr>
      <w:r>
        <w:t xml:space="preserve">The Research Proposal anticipates generating two core deliverables: (1) A validated "Guangzhou Banker Competency Matrix" integrating digital literacy, regional trade expertise, and regulatory agility – a framework currently absent in Chinese banking literature; and (2) An implementable training toolkit for financial institutions operating within China Guangzhou. Crucially, this work extends beyond academic contribution: it directly supports the Guangdong Provincial Government’s 2035 Financial Hub Blueprint by addressing the human capital bottleneck identified in its own 2023 Financial Development Report.</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Duration</w:t>
      </w:r>
    </w:p>
    <w:p>
      <w:pPr>
        <w:pStyle w:val="BodyText"/>
      </w:pPr>
      <w:r>
        <w:t xml:space="preserve">Guangzhou-Specific Milestone</w:t>
      </w:r>
    </w:p>
    <w:p>
      <w:pPr>
        <w:pStyle w:val="BodyText"/>
      </w:pPr>
      <w:r>
        <w:t xml:space="preserve">Data Collection &amp; Initial Analysis</w:t>
      </w:r>
    </w:p>
    <w:p>
      <w:pPr>
        <w:pStyle w:val="BodyText"/>
      </w:pPr>
      <w:r>
        <w:t xml:space="preserve">Months 1-4</w:t>
      </w:r>
    </w:p>
    <w:p>
      <w:pPr>
        <w:pStyle w:val="BodyText"/>
      </w:pPr>
      <w:r>
        <w:t xml:space="preserve">Survey completion across 47 Guangzhou banks; first ASEAN trade finance case studies finalized at Guangzhou International Trade Center</w:t>
      </w:r>
    </w:p>
    <w:p>
      <w:pPr>
        <w:pStyle w:val="BodyText"/>
      </w:pPr>
      <w:r>
        <w:t xml:space="preserve">Stakeholder Workshops</w:t>
      </w:r>
    </w:p>
    <w:p>
      <w:pPr>
        <w:pStyle w:val="BodyText"/>
      </w:pPr>
      <w:r>
        <w:t xml:space="preserve">Months 5-6</w:t>
      </w:r>
    </w:p>
    <w:p>
      <w:pPr>
        <w:pStyle w:val="BodyText"/>
      </w:pPr>
      <w:r>
        <w:t xml:space="preserve">Collaboration with China Banking Association (Guangzhou Chapter) to validate framework; pilot session at Nansha Financial District office</w:t>
      </w:r>
    </w:p>
    <w:p>
      <w:pPr>
        <w:pStyle w:val="BodyText"/>
      </w:pPr>
      <w:r>
        <w:t xml:space="preserve">Tool Development &amp; Validation</w:t>
      </w:r>
    </w:p>
    <w:p>
      <w:pPr>
        <w:pStyle w:val="BodyText"/>
      </w:pPr>
      <w:r>
        <w:t xml:space="preserve">Months 7-9</w:t>
      </w:r>
    </w:p>
    <w:p>
      <w:pPr>
        <w:pStyle w:val="BodyText"/>
      </w:pPr>
      <w:r>
        <w:t xml:space="preserve">Dissertation &amp; Policy Briefing</w:t>
      </w:r>
    </w:p>
    <w:p>
      <w:pPr>
        <w:pStyle w:val="BodyText"/>
      </w:pPr>
      <w:r>
        <w:t xml:space="preserve">Month 10-12</w:t>
      </w:r>
    </w:p>
    <w:p>
      <w:pPr>
        <w:pStyle w:val="BodyText"/>
      </w:pPr>
      <w:r>
        <w:t xml:space="preserve">Presentation to Guangdong Financial Regulatory Bureau; publication in China Finance Review (Guangzhou edition)</w:t>
      </w:r>
    </w:p>
    <w:bookmarkEnd w:id="26"/>
    <w:bookmarkStart w:id="27" w:name="Xe05683a82fe7e2eba9a90f958678870ed89f686"/>
    <w:p>
      <w:pPr>
        <w:pStyle w:val="Heading2"/>
      </w:pPr>
      <w:r>
        <w:t xml:space="preserve">VIII. Conclusion: Why China Guangzhou Matters</w:t>
      </w:r>
    </w:p>
    <w:p>
      <w:pPr>
        <w:pStyle w:val="FirstParagraph"/>
      </w:pPr>
      <w:r>
        <w:t xml:space="preserve">This Research Proposal transcends generic banking studies by anchoring its analysis in China Guangzhou’s irreplaceable strategic position. As the city advances toward becoming a global financial center for the South China Sea region, understanding how bankers navigate its unique blend of historical trade networks and cutting-edge fintech innovation is not merely academic – it is an economic imperative. The findings will provide actionable intelligence for bankers operating across Guangzhou's 41 industrial parks and 30,000+ SMEs. More significantly, this work establishes a replicable model for banking transformation in other Chinese regional hubs, proving that the future of the banker lies not in resisting change, but in mastering the localized dynamics of markets like China Guangzhou.</w:t>
      </w:r>
    </w:p>
    <w:p>
      <w:pPr>
        <w:pStyle w:val="BodyText"/>
      </w:pPr>
      <w:r>
        <w:rPr>
          <w:bCs/>
          <w:b/>
        </w:rPr>
        <w:t xml:space="preserve">Keywords:</w:t>
      </w:r>
      <w:r>
        <w:t xml:space="preserve"> </w:t>
      </w:r>
      <w:r>
        <w:t xml:space="preserve">Research Proposal; Banker; China Guangzhou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China Guangzhou's Financial Ecosystem</dc:title>
  <dc:creator/>
  <dc:language>en</dc:language>
  <cp:keywords/>
  <dcterms:created xsi:type="dcterms:W3CDTF">2025-12-09T20:13:41Z</dcterms:created>
  <dcterms:modified xsi:type="dcterms:W3CDTF">2025-12-09T20:13:41Z</dcterms:modified>
</cp:coreProperties>
</file>

<file path=docProps/custom.xml><?xml version="1.0" encoding="utf-8"?>
<Properties xmlns="http://schemas.openxmlformats.org/officeDocument/2006/custom-properties" xmlns:vt="http://schemas.openxmlformats.org/officeDocument/2006/docPropsVTypes"/>
</file>