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Colombia</w:t>
      </w:r>
      <w:r>
        <w:t xml:space="preserve"> </w:t>
      </w:r>
      <w:r>
        <w:t xml:space="preserve">Bogotá</w:t>
      </w:r>
    </w:p>
    <w:bookmarkStart w:id="30" w:name="X4a13ad6c54651f49aaed855199699888b41cf5c"/>
    <w:p>
      <w:pPr>
        <w:pStyle w:val="Heading1"/>
      </w:pPr>
      <w:r>
        <w:t xml:space="preserve">Research Proposal: The Evolving Role of the Modern Banker in Colombia Bogotá</w:t>
      </w:r>
    </w:p>
    <w:bookmarkStart w:id="20" w:name="introduction-and-background"/>
    <w:p>
      <w:pPr>
        <w:pStyle w:val="Heading2"/>
      </w:pPr>
      <w:r>
        <w:t xml:space="preserve">1. Introduction and Background</w:t>
      </w:r>
    </w:p>
    <w:p>
      <w:pPr>
        <w:pStyle w:val="FirstParagraph"/>
      </w:pPr>
      <w:r>
        <w:t xml:space="preserve">The banking sector in Colombia represents a critical economic pillar, with Bogotá serving as the undisputed financial epicenter of the nation. As Latin America's largest economy, Colombia has experienced profound transformation in its financial landscape over the past decade, driven by digital disruption, regulatory reforms (such as Decree 2576 of 2019), and shifting consumer expectations. Within this dynamic environment, the role of the</w:t>
      </w:r>
      <w:r>
        <w:t xml:space="preserve"> </w:t>
      </w:r>
      <w:r>
        <w:rPr>
          <w:iCs/>
          <w:i/>
        </w:rPr>
        <w:t xml:space="preserve">Banker</w:t>
      </w:r>
      <w:r>
        <w:t xml:space="preserve"> </w:t>
      </w:r>
      <w:r>
        <w:t xml:space="preserve">has evolved from traditional transactional functions to a multifaceted position demanding financial acumen, technological literacy, and strategic customer relationship management. This research proposal addresses an urgent gap in understanding how</w:t>
      </w:r>
      <w:r>
        <w:t xml:space="preserve"> </w:t>
      </w:r>
      <w:r>
        <w:rPr>
          <w:bCs/>
          <w:b/>
        </w:rPr>
        <w:t xml:space="preserve">Colombia Bogotá</w:t>
      </w:r>
      <w:r>
        <w:t xml:space="preserve">'s banking professionals navigate these complexities while driving inclusive financial growth. Despite Bogotá housing over 70% of Colombia's banking assets and 85% of the nation's major financial institutions, there remains insufficient empirical research on the lived experiences, skill gaps, and professional development needs of bankers in this pivotal urban context.</w:t>
      </w:r>
    </w:p>
    <w:bookmarkEnd w:id="20"/>
    <w:bookmarkStart w:id="21" w:name="problem-statement"/>
    <w:p>
      <w:pPr>
        <w:pStyle w:val="Heading2"/>
      </w:pPr>
      <w:r>
        <w:t xml:space="preserve">2. Problem Statement</w:t>
      </w:r>
    </w:p>
    <w:p>
      <w:pPr>
        <w:pStyle w:val="FirstParagraph"/>
      </w:pPr>
      <w:r>
        <w:t xml:space="preserve">Colombian banks face unprecedented challenges: rising fintech competition (with 30+ digital-only banks entering the market since 2020), evolving regulatory frameworks, and a younger customer base demanding seamless omnichannel experiences. Simultaneously, Bogotá's unique demographic profile—a city of 8 million with significant income inequality—creates complex service delivery challenges. Current industry practices often treat</w:t>
      </w:r>
      <w:r>
        <w:t xml:space="preserve"> </w:t>
      </w:r>
      <w:r>
        <w:rPr>
          <w:iCs/>
          <w:i/>
        </w:rPr>
        <w:t xml:space="preserve">Bankers</w:t>
      </w:r>
      <w:r>
        <w:t xml:space="preserve"> </w:t>
      </w:r>
      <w:r>
        <w:t xml:space="preserve">as mere product sellers rather than strategic advisors, leading to high turnover rates (averaging 25% annually in Bogotá branches) and underutilized potential for financial inclusion. Without targeted research into how bankers adapt to these pressures, Colombia risks falling behind regional peers like Brazil and Mexico in banking innovation and customer-centric service models. This study directly confronts this challenge by centering the</w:t>
      </w:r>
      <w:r>
        <w:t xml:space="preserve"> </w:t>
      </w:r>
      <w:r>
        <w:rPr>
          <w:iCs/>
          <w:i/>
        </w:rPr>
        <w:t xml:space="preserve">Banker</w:t>
      </w:r>
      <w:r>
        <w:t xml:space="preserve"> </w:t>
      </w:r>
      <w:r>
        <w:t xml:space="preserve">as both subject of analysis and catalyst for change within</w:t>
      </w:r>
      <w:r>
        <w:t xml:space="preserve"> </w:t>
      </w:r>
      <w:r>
        <w:rPr>
          <w:bCs/>
          <w:b/>
        </w:rPr>
        <w:t xml:space="preserve">Colombia Bogotá</w:t>
      </w:r>
      <w:r>
        <w:t xml:space="preserve">'s financial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professional challenges faced by bankers in Bogotá's diverse banking institutions (commercial, microfinance, digital banks) regarding technology integration and customer service?</w:t>
      </w:r>
    </w:p>
    <w:p>
      <w:pPr>
        <w:numPr>
          <w:ilvl w:val="0"/>
          <w:numId w:val="1001"/>
        </w:numPr>
        <w:pStyle w:val="Compact"/>
      </w:pPr>
      <w:r>
        <w:t xml:space="preserve">How do cultural factors specific to Bogotá (e.g., socioeconomic diversity, urban density) shape bankers' daily interactions and service delivery models?</w:t>
      </w:r>
    </w:p>
    <w:p>
      <w:pPr>
        <w:numPr>
          <w:ilvl w:val="0"/>
          <w:numId w:val="1001"/>
        </w:numPr>
        <w:pStyle w:val="Compact"/>
      </w:pPr>
      <w:r>
        <w:t xml:space="preserve">What skills gaps exist between current banker competencies and future requirements in Colombia's evolving financial landscape?</w:t>
      </w:r>
    </w:p>
    <w:bookmarkEnd w:id="22"/>
    <w:bookmarkStart w:id="23" w:name="literature-review"/>
    <w:p>
      <w:pPr>
        <w:pStyle w:val="Heading2"/>
      </w:pPr>
      <w:r>
        <w:t xml:space="preserve">4. Literature Review</w:t>
      </w:r>
    </w:p>
    <w:p>
      <w:pPr>
        <w:pStyle w:val="FirstParagraph"/>
      </w:pPr>
      <w:r>
        <w:t xml:space="preserve">Existing studies focus narrowly on Colombia's macroeconomic banking performance (e.g., Cámara Colombiana de la Banca, 2023) or global fintech trends (García &amp; Martínez, 2021), overlooking the human element within Bogotá's branch network. Research by Borrero &amp; Vélez (2020) on "Banker-Customer Relationships in Latin America" noted Colombia's unique challenge of balancing formal financial services with informal economic participation—a reality deeply contextualized by Bogotá's 35% informal economy rate. Similarly, a World Bank (2022) report highlighted Bogotá as the testing ground for Colombia's "digital banking leap" but neglected frontline staff adaptation. This study bridges this gap by conducting first-hand analysis of</w:t>
      </w:r>
      <w:r>
        <w:t xml:space="preserve"> </w:t>
      </w:r>
      <w:r>
        <w:rPr>
          <w:iCs/>
          <w:i/>
        </w:rPr>
        <w:t xml:space="preserve">Banker</w:t>
      </w:r>
      <w:r>
        <w:t xml:space="preserve"> </w:t>
      </w:r>
      <w:r>
        <w:t xml:space="preserve">perspectives in</w:t>
      </w:r>
      <w:r>
        <w:t xml:space="preserve"> </w:t>
      </w:r>
      <w:r>
        <w:rPr>
          <w:bCs/>
          <w:b/>
        </w:rPr>
        <w:t xml:space="preserve">Colombia Bogotá</w:t>
      </w:r>
      <w:r>
        <w:t xml:space="preserve">, moving beyond institutional metrics to explore the micro-level dynamics shaping financial inclusion and service quality.</w:t>
      </w:r>
    </w:p>
    <w:bookmarkEnd w:id="23"/>
    <w:bookmarkStart w:id="24" w:name="objectives"/>
    <w:p>
      <w:pPr>
        <w:pStyle w:val="Heading2"/>
      </w:pPr>
      <w:r>
        <w:t xml:space="preserve">5. Objectives</w:t>
      </w:r>
    </w:p>
    <w:p>
      <w:pPr>
        <w:numPr>
          <w:ilvl w:val="0"/>
          <w:numId w:val="1002"/>
        </w:numPr>
        <w:pStyle w:val="Compact"/>
      </w:pPr>
      <w:r>
        <w:rPr>
          <w:bCs/>
          <w:b/>
        </w:rPr>
        <w:t xml:space="preserve">To map the current competency framework</w:t>
      </w:r>
      <w:r>
        <w:t xml:space="preserve">: Identify essential skills (technical, emotional intelligence, digital literacy) required for success in Bogotá's banking environment through structured analysis of 50+ job descriptions from major institutions.</w:t>
      </w:r>
    </w:p>
    <w:p>
      <w:pPr>
        <w:numPr>
          <w:ilvl w:val="0"/>
          <w:numId w:val="1002"/>
        </w:numPr>
        <w:pStyle w:val="Compact"/>
      </w:pPr>
      <w:r>
        <w:rPr>
          <w:bCs/>
          <w:b/>
        </w:rPr>
        <w:t xml:space="preserve">To analyze contextual barriers</w:t>
      </w:r>
      <w:r>
        <w:t xml:space="preserve">: Document how Bogotá-specific factors—traffic congestion affecting client visits, multilingual service needs (over 15 ethnic groups), and economic volatility—affect daily banker operations.</w:t>
      </w:r>
    </w:p>
    <w:p>
      <w:pPr>
        <w:numPr>
          <w:ilvl w:val="0"/>
          <w:numId w:val="1002"/>
        </w:numPr>
        <w:pStyle w:val="Compact"/>
      </w:pPr>
      <w:r>
        <w:rPr>
          <w:bCs/>
          <w:b/>
        </w:rPr>
        <w:t xml:space="preserve">To develop evidence-based recommendations</w:t>
      </w:r>
      <w:r>
        <w:t xml:space="preserve">: Create a tailored training blueprint for bankers that addresses identified gaps, with focus on leveraging Colombia's burgeoning fintech partnerships (e.g., Banco de Bogotá's "Banco Digital" initiative).</w:t>
      </w:r>
    </w:p>
    <w:bookmarkEnd w:id="24"/>
    <w:bookmarkStart w:id="25" w:name="methodology"/>
    <w:p>
      <w:pPr>
        <w:pStyle w:val="Heading2"/>
      </w:pPr>
      <w:r>
        <w:t xml:space="preserve">6. Methodology</w:t>
      </w:r>
    </w:p>
    <w:p>
      <w:pPr>
        <w:pStyle w:val="FirstParagraph"/>
      </w:pPr>
      <w:r>
        <w:t xml:space="preserve">This mixed-methods study employs a three-phase approach:</w:t>
      </w:r>
    </w:p>
    <w:p>
      <w:pPr>
        <w:numPr>
          <w:ilvl w:val="0"/>
          <w:numId w:val="1003"/>
        </w:numPr>
        <w:pStyle w:val="Compact"/>
      </w:pPr>
      <w:r>
        <w:rPr>
          <w:bCs/>
          <w:b/>
        </w:rPr>
        <w:t xml:space="preserve">Phase 1 (Quantitative)</w:t>
      </w:r>
      <w:r>
        <w:t xml:space="preserve">: Online survey distributed to 300+ bankers across Bogotá's 5 major banking networks (including Bancolombia, Davivienda, BBVA Colombia), stratified by role (frontline, relationship managers, digital specialists) and branch location. Target: 75% response rate.</w:t>
      </w:r>
    </w:p>
    <w:p>
      <w:pPr>
        <w:numPr>
          <w:ilvl w:val="0"/>
          <w:numId w:val="1003"/>
        </w:numPr>
        <w:pStyle w:val="Compact"/>
      </w:pPr>
      <w:r>
        <w:rPr>
          <w:bCs/>
          <w:b/>
        </w:rPr>
        <w:t xml:space="preserve">Phase 2 (Qualitative)</w:t>
      </w:r>
      <w:r>
        <w:t xml:space="preserve">: In-depth interviews with 25 selected participants and focus groups with banking supervisors from diverse institutions (public/private/digital banks). Key questions will explore daily challenges, technology adoption barriers, and cultural adaptation strategies in Bogotá's urban context.</w:t>
      </w:r>
    </w:p>
    <w:p>
      <w:pPr>
        <w:numPr>
          <w:ilvl w:val="0"/>
          <w:numId w:val="1003"/>
        </w:numPr>
        <w:pStyle w:val="Compact"/>
      </w:pPr>
      <w:r>
        <w:rPr>
          <w:bCs/>
          <w:b/>
        </w:rPr>
        <w:t xml:space="preserve">Phase 3 (Analytical)</w:t>
      </w:r>
      <w:r>
        <w:t xml:space="preserve">: Thematic analysis of interview transcripts using NVivo software, cross-referenced with survey data. Triangulation with secondary data from Colombia's Superintendencia Financiera and Banco de la República reports.</w:t>
      </w:r>
    </w:p>
    <w:p>
      <w:pPr>
        <w:pStyle w:val="FirstParagraph"/>
      </w:pPr>
      <w:r>
        <w:t xml:space="preserve">The study adheres to Colombian National Research Ethics Committee (CENIC) standards, ensuring participant anonymity. Bogotá's geographical diversity will be represented through sampling across 5 distinct zones (Zona Rosa, Chapinero, La Candelaria, Soacha outskirts, and Suba), capturing socioeconomic variations critical to understanding banker-client dynamics.</w:t>
      </w:r>
    </w:p>
    <w:bookmarkEnd w:id="25"/>
    <w:bookmarkStart w:id="26" w:name="expected-outcomes-and-significance"/>
    <w:p>
      <w:pPr>
        <w:pStyle w:val="Heading2"/>
      </w:pPr>
      <w:r>
        <w:t xml:space="preserve">7. Expected Outcomes and Significance</w:t>
      </w:r>
    </w:p>
    <w:p>
      <w:pPr>
        <w:pStyle w:val="FirstParagraph"/>
      </w:pPr>
      <w:r>
        <w:t xml:space="preserve">We anticipate three key outcomes: (1) A detailed competency map showing the disconnect between current banker training and required digital-relationship skills; (2) A Bogotá-specific framework identifying 5 critical contextual challenges (e.g., "urban mobility impact on client acquisition"); and (3) Actionable recommendations for banks, regulators, and academic institutions. For</w:t>
      </w:r>
      <w:r>
        <w:t xml:space="preserve"> </w:t>
      </w:r>
      <w:r>
        <w:rPr>
          <w:bCs/>
          <w:b/>
        </w:rPr>
        <w:t xml:space="preserve">Colombia Bogotá</w:t>
      </w:r>
      <w:r>
        <w:t xml:space="preserve">, this research directly supports the national "Digital Transformation in Banking" initiative by equipping bankers as frontline change agents. Banks will gain insights to reduce turnover costs (estimated at $45K per employee in Colombia), while policymakers can refine financial inclusion programs targeting Bogotá's underserved neighborhoods. Crucially, this work positions the</w:t>
      </w:r>
      <w:r>
        <w:t xml:space="preserve"> </w:t>
      </w:r>
      <w:r>
        <w:rPr>
          <w:iCs/>
          <w:i/>
        </w:rPr>
        <w:t xml:space="preserve">Banker</w:t>
      </w:r>
      <w:r>
        <w:t xml:space="preserve"> </w:t>
      </w:r>
      <w:r>
        <w:t xml:space="preserve">not as a passive implementer of technology but as an indispensable human element in building trust-driven digital finance—addressing Bogotá's current 62% unbanked/underbanked rate (World Bank, 2023).</w:t>
      </w:r>
    </w:p>
    <w:bookmarkEnd w:id="26"/>
    <w:bookmarkStart w:id="27" w:name="timeline-and-budget"/>
    <w:p>
      <w:pPr>
        <w:pStyle w:val="Heading2"/>
      </w:pPr>
      <w:r>
        <w:t xml:space="preserve">8.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Survey protocol, interview guide, ethical approval</w:t>
            </w:r>
          </w:p>
        </w:tc>
      </w:tr>
      <w:tr>
        <w:tc>
          <w:tcPr/>
          <w:p>
            <w:pPr>
              <w:pStyle w:val="Compact"/>
              <w:jc w:val="left"/>
            </w:pPr>
            <w:r>
              <w:t xml:space="preserve">Data Collection (Survey + Interviews)</w:t>
            </w:r>
          </w:p>
        </w:tc>
        <w:tc>
          <w:tcPr/>
          <w:p>
            <w:pPr>
              <w:pStyle w:val="Compact"/>
              <w:jc w:val="left"/>
            </w:pPr>
            <w:r>
              <w:t xml:space="preserve">Months 3-4</w:t>
            </w:r>
          </w:p>
        </w:tc>
        <w:tc>
          <w:tcPr/>
          <w:p>
            <w:pPr>
              <w:pStyle w:val="Compact"/>
              <w:jc w:val="left"/>
            </w:pPr>
            <w:r>
              <w:t xml:space="preserve">300+ survey responses, 25 interviews transcribed</w:t>
            </w:r>
          </w:p>
        </w:tc>
      </w:tr>
      <w:tr>
        <w:tc>
          <w:tcPr/>
          <w:p>
            <w:pPr>
              <w:pStyle w:val="Compact"/>
              <w:jc w:val="left"/>
            </w:pPr>
            <w:r>
              <w:t xml:space="preserve">Data Analysis &amp; Draft Report</w:t>
            </w:r>
          </w:p>
        </w:tc>
        <w:tc>
          <w:tcPr/>
          <w:p>
            <w:pPr>
              <w:pStyle w:val="Compact"/>
              <w:jc w:val="left"/>
            </w:pPr>
            <w:r>
              <w:t xml:space="preserve">Month 5</w:t>
            </w:r>
          </w:p>
        </w:tc>
        <w:tc>
          <w:tcPr/>
          <w:p>
            <w:pPr>
              <w:pStyle w:val="Compact"/>
              <w:jc w:val="left"/>
            </w:pPr>
            <w:r>
              <w:t xml:space="preserve">Competency framework, challenge taxonomy, preliminary recommendations</w:t>
            </w:r>
          </w:p>
        </w:tc>
      </w:tr>
      <w:tr>
        <w:tc>
          <w:tcPr/>
          <w:p>
            <w:pPr>
              <w:pStyle w:val="Compact"/>
              <w:jc w:val="left"/>
            </w:pPr>
            <w:r>
              <w:t xml:space="preserve">Validation Workshop &amp; Final Report</w:t>
            </w:r>
          </w:p>
        </w:tc>
        <w:tc>
          <w:tcPr/>
          <w:p>
            <w:pPr>
              <w:pStyle w:val="Compact"/>
              <w:jc w:val="left"/>
            </w:pPr>
            <w:r>
              <w:t xml:space="preserve">Month 6</w:t>
            </w:r>
          </w:p>
        </w:tc>
        <w:tc>
          <w:tcPr/>
          <w:p>
            <w:pPr>
              <w:pStyle w:val="Compact"/>
              <w:jc w:val="left"/>
            </w:pPr>
            <w:r>
              <w:t xml:space="preserve">Presentation to Bogotá Banking Association; final proposal document (120 pages)</w:t>
            </w:r>
          </w:p>
        </w:tc>
      </w:tr>
    </w:tbl>
    <w:bookmarkEnd w:id="27"/>
    <w:bookmarkStart w:id="29" w:name="conclusion"/>
    <w:p>
      <w:pPr>
        <w:pStyle w:val="Heading2"/>
      </w:pPr>
      <w:r>
        <w:t xml:space="preserve">9. Conclusion</w:t>
      </w:r>
    </w:p>
    <w:p>
      <w:pPr>
        <w:pStyle w:val="FirstParagraph"/>
      </w:pPr>
      <w:r>
        <w:t xml:space="preserve">This research represents a timely and necessary investigation into the human core of Colombia's financial transformation—specifically within Bogotá, where banking innovation and social inclusion intersect most intensely. By centering the experiences of</w:t>
      </w:r>
      <w:r>
        <w:t xml:space="preserve"> </w:t>
      </w:r>
      <w:r>
        <w:rPr>
          <w:iCs/>
          <w:i/>
        </w:rPr>
        <w:t xml:space="preserve">Bankers</w:t>
      </w:r>
      <w:r>
        <w:t xml:space="preserve">, this project moves beyond abstract metrics to illuminate actionable pathways for building a more resilient, inclusive, and technologically adept financial sector in</w:t>
      </w:r>
      <w:r>
        <w:t xml:space="preserve"> </w:t>
      </w:r>
      <w:r>
        <w:rPr>
          <w:bCs/>
          <w:b/>
        </w:rPr>
        <w:t xml:space="preserve">Colombia Bogotá</w:t>
      </w:r>
      <w:r>
        <w:t xml:space="preserve">. The findings will directly inform training curricula at institutions like Universidad de los Andes and Banco de la República's financial education programs. In an era where Colombia seeks to position itself as a regional banking leader, empowering its bankers—through evidence-based strategy—is not merely beneficial but essential for sustainable economic progress. This</w:t>
      </w:r>
      <w:r>
        <w:t xml:space="preserve"> </w:t>
      </w:r>
      <w:r>
        <w:rPr>
          <w:iCs/>
          <w:i/>
        </w:rPr>
        <w:t xml:space="preserve">Research Proposal</w:t>
      </w:r>
      <w:r>
        <w:t xml:space="preserve"> </w:t>
      </w:r>
      <w:r>
        <w:t xml:space="preserve">thus charts a course toward making Bogotá's bankers the architects of Colombia's next financial decade.</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Bankers in Colombia Bogotá</dc:title>
  <dc:creator/>
  <dc:language>en</dc:language>
  <cp:keywords/>
  <dcterms:created xsi:type="dcterms:W3CDTF">2026-07-24T04:49:11Z</dcterms:created>
  <dcterms:modified xsi:type="dcterms:W3CDTF">2026-07-24T04:49:11Z</dcterms:modified>
</cp:coreProperties>
</file>

<file path=docProps/custom.xml><?xml version="1.0" encoding="utf-8"?>
<Properties xmlns="http://schemas.openxmlformats.org/officeDocument/2006/custom-properties" xmlns:vt="http://schemas.openxmlformats.org/officeDocument/2006/docPropsVTypes"/>
</file>