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Financial</w:t>
      </w:r>
      <w:r>
        <w:t xml:space="preserve"> </w:t>
      </w:r>
      <w:r>
        <w:t xml:space="preserve">Inclusion</w:t>
      </w:r>
      <w:r>
        <w:t xml:space="preserve"> </w:t>
      </w:r>
      <w:r>
        <w:t xml:space="preserve">Through</w:t>
      </w:r>
      <w:r>
        <w:t xml:space="preserve"> </w:t>
      </w:r>
      <w:r>
        <w:t xml:space="preserve">Banker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6" w:name="X6dd1e6e697ae5327942e6573a5703db32c6282a"/>
    <w:p>
      <w:pPr>
        <w:pStyle w:val="Heading1"/>
      </w:pPr>
      <w:r>
        <w:t xml:space="preserve">Research Proposal: Strengthening Community Trust and Financial Access via Strategic Banker Engagement in Colombia Medellín</w:t>
      </w:r>
    </w:p>
    <w:p>
      <w:pPr>
        <w:pStyle w:val="FirstParagraph"/>
      </w:pPr>
      <w:r>
        <w:rPr>
          <w:bCs/>
          <w:b/>
        </w:rPr>
        <w:t xml:space="preserve">Abstract (150 words):</w:t>
      </w:r>
      <w:r>
        <w:t xml:space="preserve"> </w:t>
      </w:r>
      <w:r>
        <w:t xml:space="preserve">This Research Proposal addresses a critical gap in Colombia's financial inclusion strategy by investigating the role of</w:t>
      </w:r>
      <w:r>
        <w:t xml:space="preserve"> </w:t>
      </w:r>
      <w:r>
        <w:rPr>
          <w:iCs/>
          <w:i/>
        </w:rPr>
        <w:t xml:space="preserve">Banker</w:t>
      </w:r>
      <w:r>
        <w:t xml:space="preserve">-client dynamics within Medellín, Colombia's second-largest city and a global model for urban innovation. Despite national progress toward financial inclusion targets, Medellín’s informal economy (employing ~35% of its workforce) remains underserved by traditional banking services. This study will analyze how</w:t>
      </w:r>
      <w:r>
        <w:t xml:space="preserve"> </w:t>
      </w:r>
      <w:r>
        <w:rPr>
          <w:iCs/>
          <w:i/>
        </w:rPr>
        <w:t xml:space="preserve">Banker</w:t>
      </w:r>
      <w:r>
        <w:t xml:space="preserve">s in Medellín navigate socio-cultural barriers, digital literacy gaps, and trust deficits to serve marginalized communities. Employing mixed-methods research across 5 distinct neighborhoods in Colombia Medellín, we seek to develop actionable frameworks for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training, community-centric product design, and policy recommendations. The findings will directly inform Colombia’s National Financial Inclusion Plan (2023–2025) and position Medellín as a replicable blueprint for Latin American financial inclusion.</w:t>
      </w:r>
    </w:p>
    <w:bookmarkStart w:id="20" w:name="introduction-the-medellín-context"/>
    <w:p>
      <w:pPr>
        <w:pStyle w:val="Heading2"/>
      </w:pPr>
      <w:r>
        <w:t xml:space="preserve">1. Introduction: The Medellín Context</w:t>
      </w:r>
    </w:p>
    <w:p>
      <w:pPr>
        <w:pStyle w:val="FirstParagraph"/>
      </w:pPr>
      <w:r>
        <w:t xml:space="preserve">Colombia has made significant strides in financial inclusion, with the percentage of adults with bank accounts rising from 43% (2014) to 85% (2023). However, this national average masks stark disparities within cities like Medellín. As a city renowned for its transformative social urbanism—evidenced by libraries in marginalized comunas, cable cars connecting hillside barrios, and the "Medellín Model" of peacebuilding—Medellín presents a unique laboratory for understanding</w:t>
      </w:r>
      <w:r>
        <w:t xml:space="preserve"> </w:t>
      </w:r>
      <w:r>
        <w:rPr>
          <w:iCs/>
          <w:i/>
        </w:rPr>
        <w:t xml:space="preserve">Banker</w:t>
      </w:r>
      <w:r>
        <w:t xml:space="preserve">-community interaction. The city’s economic engine drives 14% of Colombia’s GDP but faces persistent challenges: 22% of residents remain unbanked (Banco de la República, 2023), with the highest exclusion rates in informal markets (e.g., street vendors, micro-entrepreneurs). This Research Proposal centers on how</w:t>
      </w:r>
      <w:r>
        <w:t xml:space="preserve"> </w:t>
      </w:r>
      <w:r>
        <w:rPr>
          <w:iCs/>
          <w:i/>
        </w:rPr>
        <w:t xml:space="preserve">Banker</w:t>
      </w:r>
      <w:r>
        <w:t xml:space="preserve">s can bridge this gap within Colombia Medellín’s specific socio-economic fabric.</w:t>
      </w:r>
    </w:p>
    <w:bookmarkEnd w:id="20"/>
    <w:bookmarkStart w:id="21" w:name="Xe3ab7bae057fc61e8b8785b468542307afa7444"/>
    <w:p>
      <w:pPr>
        <w:pStyle w:val="Heading2"/>
      </w:pPr>
      <w:r>
        <w:t xml:space="preserve">2. Problem Statement: The Trust Deficit in Medellín’s Financial Ecosystem</w:t>
      </w:r>
    </w:p>
    <w:p>
      <w:pPr>
        <w:pStyle w:val="FirstParagraph"/>
      </w:pPr>
      <w:r>
        <w:t xml:space="preserve">Current banking interventions in Medellín often fail due to a fundamental disconnect between institutional strategies and community needs. Traditional</w:t>
      </w:r>
      <w:r>
        <w:t xml:space="preserve"> </w:t>
      </w:r>
      <w:r>
        <w:rPr>
          <w:iCs/>
          <w:i/>
        </w:rPr>
        <w:t xml:space="preserve">Banker</w:t>
      </w:r>
      <w:r>
        <w:t xml:space="preserve">s, trained in standardized product delivery, frequently lack cultural competency to engage with Afro-Colombian, Indigenous, or displaced communities—groups constituting 40% of Medellín’s population. A 2023 study by the Inter-American Development Bank revealed that 68% of informal workers in Medellín distrust banks due to perceived "exclusionary practices" (e.g., high fees, complex documentation). This trust deficit perpetuates a cycle where</w:t>
      </w:r>
      <w:r>
        <w:t xml:space="preserve"> </w:t>
      </w:r>
      <w:r>
        <w:rPr>
          <w:iCs/>
          <w:i/>
        </w:rPr>
        <w:t xml:space="preserve">Banker</w:t>
      </w:r>
      <w:r>
        <w:t xml:space="preserve">s avoid serving these clients, reinforcing financial exclusion. Crucially, Colombia’s national policy prioritizes digital banking solutions—but 58% of Medellín’s unbanked population lacks reliable internet access (IDB, 2023). Thus, the core problem is not merely</w:t>
      </w:r>
      <w:r>
        <w:t xml:space="preserve"> </w:t>
      </w:r>
      <w:r>
        <w:rPr>
          <w:iCs/>
          <w:i/>
        </w:rPr>
        <w:t xml:space="preserve">access</w:t>
      </w:r>
      <w:r>
        <w:t xml:space="preserve">, but the</w:t>
      </w:r>
      <w:r>
        <w:t xml:space="preserve"> </w:t>
      </w:r>
      <w:r>
        <w:rPr>
          <w:iCs/>
          <w:i/>
        </w:rPr>
        <w:t xml:space="preserve">quality of engagement</w:t>
      </w:r>
      <w:r>
        <w:t xml:space="preserve"> </w:t>
      </w:r>
      <w:r>
        <w:t xml:space="preserve">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vulnerable populations in Colombia Medellín.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socio-cultural barriers:</w:t>
      </w:r>
      <w:r>
        <w:t xml:space="preserve"> </w:t>
      </w:r>
      <w:r>
        <w:t xml:space="preserve">Document specific trust-eroding practices (e.g., language, fees)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informal sector clients across Medellín’s 10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banker training:</w:t>
      </w:r>
      <w:r>
        <w:t xml:space="preserve"> </w:t>
      </w:r>
      <w:r>
        <w:t xml:space="preserve">Assess whether existing programs equip</w:t>
      </w:r>
      <w:r>
        <w:t xml:space="preserve"> </w:t>
      </w:r>
      <w:r>
        <w:rPr>
          <w:iCs/>
          <w:i/>
        </w:rPr>
        <w:t xml:space="preserve">Banker</w:t>
      </w:r>
      <w:r>
        <w:t xml:space="preserve">s in Colombia Medellín with skills for community-centered service (e.g., financial literacy coaching, mobile banking support).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solutions:</w:t>
      </w:r>
      <w:r>
        <w:t xml:space="preserve"> </w:t>
      </w:r>
      <w:r>
        <w:t xml:space="preserve">Collaborate with 50+</w:t>
      </w:r>
      <w:r>
        <w:t xml:space="preserve"> </w:t>
      </w:r>
      <w:r>
        <w:rPr>
          <w:iCs/>
          <w:i/>
        </w:rPr>
        <w:t xml:space="preserve">Banker</w:t>
      </w:r>
      <w:r>
        <w:t xml:space="preserve">s from 3 major banks and local community leaders to prototype low-tech/low-cost inclusion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 scalability:</w:t>
      </w:r>
      <w:r>
        <w:t xml:space="preserve"> </w:t>
      </w:r>
      <w:r>
        <w:t xml:space="preserve">Model how successful interventions in Medellín could be adapted for other Colombian cities (e.g., Cali, Bucaramanga).</w:t>
      </w:r>
    </w:p>
    <w:bookmarkEnd w:id="22"/>
    <w:bookmarkStart w:id="23" w:name="X49a9fc8b5b9e917f1e3818a9bac8a45db84b95a"/>
    <w:p>
      <w:pPr>
        <w:pStyle w:val="Heading2"/>
      </w:pPr>
      <w:r>
        <w:t xml:space="preserve">4. Methodology: Community-Embedded Research in Colombia Medellín</w:t>
      </w:r>
    </w:p>
    <w:p>
      <w:pPr>
        <w:pStyle w:val="FirstParagraph"/>
      </w:pPr>
      <w:r>
        <w:t xml:space="preserve">This study employs a participatory action research (PAR) framework to ensure legitimacy and impact within Colombia Medellín. Phase 1 (3 months): Mixed-methods data collection across 5 neighborhoods representing socioeconomic diversity—Comuna 1 (low-income urban), Comuna 9 (refugee influx), La Estrella (entrepreneurial hub), El Poblado (affluent, high banking penetration), and San Javier (Indigenous). We will conduct: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45+ semi-structured interviews</w:t>
      </w:r>
      <w:r>
        <w:t xml:space="preserve"> </w:t>
      </w:r>
      <w:r>
        <w:t xml:space="preserve">with</w:t>
      </w:r>
      <w:r>
        <w:t xml:space="preserve"> </w:t>
      </w:r>
      <w:r>
        <w:rPr>
          <w:iCs/>
          <w:i/>
        </w:rPr>
        <w:t xml:space="preserve">Banker</w:t>
      </w:r>
      <w:r>
        <w:t xml:space="preserve">s, microfinance officers, and community leaders.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200+ household surveys</w:t>
      </w:r>
      <w:r>
        <w:t xml:space="preserve"> </w:t>
      </w:r>
      <w:r>
        <w:t xml:space="preserve">targeting unbanked/formally banked informal workers.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Cultural immersion workshops</w:t>
      </w:r>
      <w:r>
        <w:t xml:space="preserve"> </w:t>
      </w:r>
      <w:r>
        <w:t xml:space="preserve">where</w:t>
      </w:r>
      <w:r>
        <w:t xml:space="preserve"> </w:t>
      </w:r>
      <w:r>
        <w:rPr>
          <w:iCs/>
          <w:i/>
        </w:rPr>
        <w:t xml:space="preserve">Banker</w:t>
      </w:r>
      <w:r>
        <w:t xml:space="preserve">s shadow clients at street markets (e.g., Mercado del Río, La 11).</w:t>
      </w:r>
      <w:r>
        <w:t xml:space="preserve"> </w:t>
      </w:r>
      <w:r>
        <w:t xml:space="preserve">Phase 2 (2 months): Co-creation workshops to translate findings into toolkits for</w:t>
      </w:r>
      <w:r>
        <w:t xml:space="preserve"> </w:t>
      </w:r>
      <w:r>
        <w:rPr>
          <w:iCs/>
          <w:i/>
        </w:rPr>
        <w:t xml:space="preserve">Banker</w:t>
      </w:r>
      <w:r>
        <w:t xml:space="preserve">s. Phase 3 (1 month): Policy brief development for Colombia’s Superintendencia Financiera and Medellín’s municipal finance office.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three transformative outcomes:</w:t>
      </w:r>
      <w:r>
        <w:t xml:space="preserve"> </w:t>
      </w:r>
      <w:r>
        <w:rPr>
          <w:bCs/>
          <w:b/>
        </w:rPr>
        <w:t xml:space="preserve">(1)</w:t>
      </w:r>
      <w:r>
        <w:t xml:space="preserve"> </w:t>
      </w:r>
      <w:r>
        <w:t xml:space="preserve">A validated "Medellín Inclusion Index" measuring trust levels between clients and</w:t>
      </w:r>
      <w:r>
        <w:t xml:space="preserve"> </w:t>
      </w:r>
      <w:r>
        <w:rPr>
          <w:iCs/>
          <w:i/>
        </w:rPr>
        <w:t xml:space="preserve">Banker</w:t>
      </w:r>
      <w:r>
        <w:t xml:space="preserve">s—useful for Colombia’s national banking regulator.</w:t>
      </w:r>
      <w:r>
        <w:t xml:space="preserve"> </w:t>
      </w:r>
      <w:r>
        <w:rPr>
          <w:bCs/>
          <w:b/>
        </w:rPr>
        <w:t xml:space="preserve">(2)</w:t>
      </w:r>
      <w:r>
        <w:t xml:space="preserve"> </w:t>
      </w:r>
      <w:r>
        <w:t xml:space="preserve">A training module for</w:t>
      </w:r>
      <w:r>
        <w:t xml:space="preserve"> </w:t>
      </w:r>
      <w:r>
        <w:rPr>
          <w:iCs/>
          <w:i/>
        </w:rPr>
        <w:t xml:space="preserve">Banker</w:t>
      </w:r>
      <w:r>
        <w:t xml:space="preserve">s focusing on asset-based community development (not deficit-focused approaches), tested in 3 Medellín branches.</w:t>
      </w:r>
      <w:r>
        <w:t xml:space="preserve"> </w:t>
      </w:r>
      <w:r>
        <w:rPr>
          <w:bCs/>
          <w:b/>
        </w:rPr>
        <w:t xml:space="preserve">(3)</w:t>
      </w:r>
      <w:r>
        <w:t xml:space="preserve"> </w:t>
      </w:r>
      <w:r>
        <w:t xml:space="preserve">Policy recommendations to modify Colombia’s financial inclusion metrics to prioritize relationship quality over mere account numbers.</w:t>
      </w:r>
      <w:r>
        <w:t xml:space="preserve"> </w:t>
      </w:r>
      <w:r>
        <w:t xml:space="preserve">Crucially, these outcomes directly support Colombia’s Vision 2050 and Medellín’s "City of Opportunity" strategy (2023–2031), which emphasizes equitable access as a core pillar. By centering the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as an agent of change—not just a service provider—this research redefines financial inclusion from transactional to relational in Colombia Medellín’s unique context.</w:t>
      </w:r>
    </w:p>
    <w:bookmarkEnd w:id="24"/>
    <w:bookmarkStart w:id="25" w:name="conclusion-why-this-research-matters-now"/>
    <w:p>
      <w:pPr>
        <w:pStyle w:val="Heading2"/>
      </w:pPr>
      <w:r>
        <w:t xml:space="preserve">6. Conclusion: Why This Research Matters Now</w:t>
      </w:r>
    </w:p>
    <w:p>
      <w:pPr>
        <w:pStyle w:val="FirstParagraph"/>
      </w:pPr>
      <w:r>
        <w:t xml:space="preserve">The time for this Research Proposal is urgent. As Colombia accelerates its transition toward a cashless society, the risk of excluding Medellín’s most vulnerable populations grows. Traditional approaches—like deploying ATMs in informal markets—fail to address the human element: the</w:t>
      </w:r>
      <w:r>
        <w:t xml:space="preserve"> </w:t>
      </w:r>
      <w:r>
        <w:rPr>
          <w:iCs/>
          <w:i/>
        </w:rPr>
        <w:t xml:space="preserve">Banker</w:t>
      </w:r>
      <w:r>
        <w:t xml:space="preserve">. This study moves beyond "access" to examine how trust is built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s and communities. In Colombia Medellín, where social cohesion has been a catalyst for peace, financial inclusion must similarly be rooted in mutual understanding. The findings will empower</w:t>
      </w:r>
      <w:r>
        <w:t xml:space="preserve"> </w:t>
      </w:r>
      <w:r>
        <w:rPr>
          <w:iCs/>
          <w:i/>
        </w:rPr>
        <w:t xml:space="preserve">Banker</w:t>
      </w:r>
      <w:r>
        <w:t xml:space="preserve">s not as faceless corporate representatives but as vital community connectors—proving that in Colombia Medellín’s journey toward economic justice, the relationship between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and client is the most powerful financial instrument of all.</w:t>
      </w:r>
    </w:p>
    <w:p>
      <w:pPr>
        <w:pStyle w:val="BodyText"/>
      </w:pPr>
      <w:r>
        <w:rPr>
          <w:bCs/>
          <w:b/>
        </w:rPr>
        <w:t xml:space="preserve">Total Word Count: 878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Financial Inclusion Through Banker Engagement in Colombia Medellín</dc:title>
  <dc:creator/>
  <dc:language>en</dc:language>
  <cp:keywords/>
  <dcterms:created xsi:type="dcterms:W3CDTF">2026-07-23T19:39:50Z</dcterms:created>
  <dcterms:modified xsi:type="dcterms:W3CDTF">2026-07-23T19:39:50Z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