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Germany</w:t>
      </w:r>
      <w:r>
        <w:t xml:space="preserve"> </w:t>
      </w:r>
      <w:r>
        <w:t xml:space="preserve">Berlin's</w:t>
      </w:r>
      <w:r>
        <w:t xml:space="preserve"> </w:t>
      </w:r>
      <w:r>
        <w:t xml:space="preserve">Financial</w:t>
      </w:r>
      <w:r>
        <w:t xml:space="preserve"> </w:t>
      </w:r>
      <w:r>
        <w:t xml:space="preserve">Ecosystem</w:t>
      </w:r>
    </w:p>
    <w:bookmarkStart w:id="27" w:name="Xa35b65621664ad0eed46e75a3c7efe545b42366"/>
    <w:p>
      <w:pPr>
        <w:pStyle w:val="Heading1"/>
      </w:pPr>
      <w:r>
        <w:t xml:space="preserve">Research Proposal: Adapting the Modern Banker to Digital Transformation and Regulatory Shifts in Germany Berlin</w:t>
      </w:r>
    </w:p>
    <w:p>
      <w:pPr>
        <w:pStyle w:val="FirstParagraph"/>
      </w:pPr>
      <w:r>
        <w:rPr>
          <w:bCs/>
          <w:b/>
        </w:rPr>
        <w:t xml:space="preserve">Abstract:</w:t>
      </w:r>
      <w:r>
        <w:t xml:space="preserve"> </w:t>
      </w:r>
      <w:r>
        <w:t xml:space="preserve">This research proposal outlines a comprehensive study examining the evolving professional landscape of the</w:t>
      </w:r>
      <w:r>
        <w:t xml:space="preserve"> </w:t>
      </w:r>
      <w:r>
        <w:rPr>
          <w:iCs/>
          <w:i/>
        </w:rPr>
        <w:t xml:space="preserve">Banker</w:t>
      </w:r>
      <w:r>
        <w:t xml:space="preserve"> </w:t>
      </w:r>
      <w:r>
        <w:t xml:space="preserve">within financial institutions operating in</w:t>
      </w:r>
    </w:p>
    <w:p>
      <w:pPr>
        <w:pStyle w:val="BodyText"/>
      </w:pPr>
      <w:r>
        <w:t xml:space="preserve">Germ</w:t>
      </w:r>
      <w:r>
        <w:rPr>
          <w:iCs/>
          <w:i/>
        </w:rPr>
        <w:t xml:space="preserve">a</w:t>
      </w:r>
      <w:r>
        <w:t xml:space="preserve">n</w:t>
      </w:r>
      <w:r>
        <w:rPr>
          <w:iCs/>
          <w:i/>
        </w:rPr>
        <w:t xml:space="preserve">y Berlin</w:t>
      </w:r>
      <w:r>
        <w:t xml:space="preserve">. As Berlin solidifies its position as Germany's burgeoning financial and fintech hub, this study investigates how regulatory pressures, technological disruption, and shifting client expectations are reshaping the core competencies, ethical responsibilities, and strategic value of the</w:t>
      </w:r>
      <w:r>
        <w:t xml:space="preserve"> </w:t>
      </w:r>
      <w:r>
        <w:rPr>
          <w:bCs/>
          <w:b/>
        </w:rPr>
        <w:t xml:space="preserve">Banker</w:t>
      </w:r>
      <w:r>
        <w:t xml:space="preserve"> </w:t>
      </w:r>
      <w:r>
        <w:t xml:space="preserve">in one of Europe's most dynamic urban economies. The findings aim to provide actionable insights for educational institutions, financial regulators (notably BaFin), and banking enterprises navigating Berlin's unique market context.</w:t>
      </w:r>
    </w:p>
    <w:bookmarkStart w:id="20" w:name="X5516aa1a15393be57ad42862afc664648144e0d"/>
    <w:p>
      <w:pPr>
        <w:pStyle w:val="Heading2"/>
      </w:pPr>
      <w:r>
        <w:t xml:space="preserve">1. Introduction: Berlin as the Strategic Heartbeat of German Finance</w:t>
      </w:r>
    </w:p>
    <w:p>
      <w:pPr>
        <w:pStyle w:val="FirstParagraph"/>
      </w:pPr>
      <w:r>
        <w:t xml:space="preserve">Germany Berlin is no longer merely the political capital; it has rapidly emerged as a pivotal center for financial innovation within Germany and Europe. Home to major headquarters (e.g., Deutsche Bank's significant operations, Commerzbank's strategic focus), a thriving fintech ecosystem (including N26, Wirecard's legacy impact, and numerous scale-ups), and the German Federal Financial Supervisory Authority (</w:t>
      </w:r>
      <w:r>
        <w:rPr>
          <w:iCs/>
          <w:i/>
        </w:rPr>
        <w:t xml:space="preserve">Bundesanstalt für Finanzdienstleistungsaufsicht - BaFin</w:t>
      </w:r>
      <w:r>
        <w:t xml:space="preserve">), Berlin presents an unparalleled case study. This research directly addresses the critical question: How is the traditional role of the</w:t>
      </w:r>
      <w:r>
        <w:t xml:space="preserve"> </w:t>
      </w:r>
      <w:r>
        <w:rPr>
          <w:bCs/>
          <w:b/>
        </w:rPr>
        <w:t xml:space="preserve">Banker</w:t>
      </w:r>
      <w:r>
        <w:t xml:space="preserve"> </w:t>
      </w:r>
      <w:r>
        <w:t xml:space="preserve">being fundamentally redefined within this specific German urban environment? The</w:t>
      </w:r>
      <w:r>
        <w:t xml:space="preserve"> </w:t>
      </w:r>
      <w:r>
        <w:rPr>
          <w:iCs/>
          <w:i/>
        </w:rPr>
        <w:t xml:space="preserve">Research Proposal</w:t>
      </w:r>
      <w:r>
        <w:t xml:space="preserve"> </w:t>
      </w:r>
      <w:r>
        <w:t xml:space="preserve">focuses on Berlin due to its unique confluence of historical financial infrastructure, cutting-edge technological adoption, and stringent German regulatory frameworks, offering a microcosm for understanding broader European banking evolution.</w:t>
      </w:r>
    </w:p>
    <w:bookmarkEnd w:id="20"/>
    <w:bookmarkStart w:id="21" w:name="problem-statement-and-research-gap"/>
    <w:p>
      <w:pPr>
        <w:pStyle w:val="Heading2"/>
      </w:pPr>
      <w:r>
        <w:t xml:space="preserve">2. Problem Statement and Research Gap</w:t>
      </w:r>
    </w:p>
    <w:p>
      <w:pPr>
        <w:pStyle w:val="FirstParagraph"/>
      </w:pPr>
      <w:r>
        <w:t xml:space="preserve">While substantial literature exists on global banking trends and German financial regulation separately, a critical gap persists: the absence of granular research analyzing how these forces specifically impact the professional identity, skill requirements, and daily operational realities of the individual</w:t>
      </w:r>
      <w:r>
        <w:t xml:space="preserve"> </w:t>
      </w:r>
      <w:r>
        <w:rPr>
          <w:bCs/>
          <w:b/>
        </w:rPr>
        <w:t xml:space="preserve">Banker</w:t>
      </w:r>
      <w:r>
        <w:t xml:space="preserve"> </w:t>
      </w:r>
      <w:r>
        <w:t xml:space="preserve">within Berlin's distinct market. Existing studies often generalize across Germany or focus solely on Frankfurt (the traditional finance hub). However, Berlin's unique mix of startups challenging incumbents, younger client demographics demanding digital-first services, and BaFin's proactive stance on fintech integration create a pressure cooker environment for the</w:t>
      </w:r>
      <w:r>
        <w:t xml:space="preserve"> </w:t>
      </w:r>
      <w:r>
        <w:rPr>
          <w:iCs/>
          <w:i/>
        </w:rPr>
        <w:t xml:space="preserve">Banker</w:t>
      </w:r>
      <w:r>
        <w:t xml:space="preserve">. Understanding this specific adaptation is crucial for talent development in</w:t>
      </w:r>
      <w:r>
        <w:t xml:space="preserve"> </w:t>
      </w:r>
      <w:r>
        <w:rPr>
          <w:iCs/>
          <w:i/>
        </w:rPr>
        <w:t xml:space="preserve">Germany Berlin</w:t>
      </w:r>
      <w:r>
        <w:t xml:space="preserve">, ensuring the local financial sector remains competitive and compliant.</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context of</w:t>
      </w:r>
      <w:r>
        <w:t xml:space="preserve"> </w:t>
      </w:r>
      <w:r>
        <w:rPr>
          <w:iCs/>
          <w:i/>
        </w:rPr>
        <w:t xml:space="preserve">Germany Berlin</w:t>
      </w:r>
      <w:r>
        <w:t xml:space="preserve">:</w:t>
      </w:r>
    </w:p>
    <w:p>
      <w:pPr>
        <w:numPr>
          <w:ilvl w:val="0"/>
          <w:numId w:val="1001"/>
        </w:numPr>
        <w:pStyle w:val="Compact"/>
      </w:pPr>
      <w:r>
        <w:t xml:space="preserve">To map the current skillset requirements for a successful modern Banker in Berlin-based financial institutions (retail banks, investment banks, fintechs), identifying gaps compared to traditional expectations.</w:t>
      </w:r>
    </w:p>
    <w:p>
      <w:pPr>
        <w:numPr>
          <w:ilvl w:val="0"/>
          <w:numId w:val="1001"/>
        </w:numPr>
        <w:pStyle w:val="Compact"/>
      </w:pPr>
      <w:r>
        <w:t xml:space="preserve">To analyze how regulatory frameworks (BaFin guidelines, GDPR implications for data-driven banking) directly influence the day-to-day responsibilities and risk management practices of the Banker in Berlin.</w:t>
      </w:r>
    </w:p>
    <w:p>
      <w:pPr>
        <w:numPr>
          <w:ilvl w:val="0"/>
          <w:numId w:val="1001"/>
        </w:numPr>
        <w:pStyle w:val="Compact"/>
      </w:pPr>
      <w:r>
        <w:t xml:space="preserve">To investigate client expectation shifts (particularly digital-native clients) and their impact on service delivery models, communication strategies, and value propositions held by the Banker within Berlin's market.</w:t>
      </w:r>
    </w:p>
    <w:p>
      <w:pPr>
        <w:numPr>
          <w:ilvl w:val="0"/>
          <w:numId w:val="1001"/>
        </w:numPr>
        <w:pStyle w:val="Compact"/>
      </w:pPr>
      <w:r>
        <w:t xml:space="preserve">To evaluate the perceived ethical challenges faced by the Banker operating in Berlin's fast-paced fintech-influenced environment.</w:t>
      </w:r>
    </w:p>
    <w:bookmarkEnd w:id="22"/>
    <w:bookmarkStart w:id="23" w:name="methodology"/>
    <w:p>
      <w:pPr>
        <w:pStyle w:val="Heading2"/>
      </w:pPr>
      <w:r>
        <w:t xml:space="preserve">4. Methodology</w:t>
      </w:r>
    </w:p>
    <w:p>
      <w:pPr>
        <w:pStyle w:val="FirstParagraph"/>
      </w:pPr>
      <w:r>
        <w:t xml:space="preserve">This mixed-methods research proposal employs a triangulated approach tailored to Berlin's context:</w:t>
      </w:r>
    </w:p>
    <w:p>
      <w:pPr>
        <w:numPr>
          <w:ilvl w:val="0"/>
          <w:numId w:val="1002"/>
        </w:numPr>
        <w:pStyle w:val="Compact"/>
      </w:pPr>
      <w:r>
        <w:rPr>
          <w:bCs/>
          <w:b/>
        </w:rPr>
        <w:t xml:space="preserve">Quantitative Survey:</w:t>
      </w:r>
      <w:r>
        <w:t xml:space="preserve"> </w:t>
      </w:r>
      <w:r>
        <w:t xml:space="preserve">A structured online survey targeting 300+ practicing Bankers (relationship managers, credit analysts, compliance officers, fintech product managers) across major Berlin financial institutions and established fintechs. The survey will assess skill prioritization, regulatory burden perception, and client interaction challenges specific to the</w:t>
      </w:r>
      <w:r>
        <w:t xml:space="preserve"> </w:t>
      </w:r>
      <w:r>
        <w:rPr>
          <w:iCs/>
          <w:i/>
        </w:rPr>
        <w:t xml:space="preserve">Germany Berlin</w:t>
      </w:r>
      <w:r>
        <w:t xml:space="preserve"> </w:t>
      </w:r>
      <w:r>
        <w:t xml:space="preserve">environment.</w:t>
      </w:r>
    </w:p>
    <w:p>
      <w:pPr>
        <w:numPr>
          <w:ilvl w:val="0"/>
          <w:numId w:val="1002"/>
        </w:numPr>
        <w:pStyle w:val="Compact"/>
      </w:pPr>
      <w:r>
        <w:rPr>
          <w:bCs/>
          <w:b/>
        </w:rPr>
        <w:t xml:space="preserve">Qualitative Case Studies:</w:t>
      </w:r>
      <w:r>
        <w:t xml:space="preserve"> </w:t>
      </w:r>
      <w:r>
        <w:t xml:space="preserve">In-depth interviews (20-25) with senior leaders from key institutions (e.g., Deutsche Bank Berlin branch management, BaFin regional office representatives, founders of prominent Berlin fintechs) to provide contextual depth on strategic shifts impacting the Banker role.</w:t>
      </w:r>
    </w:p>
    <w:p>
      <w:pPr>
        <w:numPr>
          <w:ilvl w:val="0"/>
          <w:numId w:val="1002"/>
        </w:numPr>
        <w:pStyle w:val="Compact"/>
      </w:pPr>
      <w:r>
        <w:rPr>
          <w:bCs/>
          <w:b/>
        </w:rPr>
        <w:t xml:space="preserve">Document Analysis:</w:t>
      </w:r>
      <w:r>
        <w:t xml:space="preserve"> </w:t>
      </w:r>
      <w:r>
        <w:t xml:space="preserve">Systematic review of recent BaFin directives relevant to Berlin operations, major bank annual reports (focusing on Berlin offices), and industry publications (e.g., Handelsblatt Finance, Finextra) to ground findings in current regulatory and market realities within</w:t>
      </w:r>
    </w:p>
    <w:p>
      <w:pPr>
        <w:numPr>
          <w:ilvl w:val="0"/>
          <w:numId w:val="1000"/>
        </w:numPr>
        <w:pStyle w:val="Compact"/>
      </w:pPr>
      <w:r>
        <w:t xml:space="preserve">Germ</w:t>
      </w:r>
      <w:r>
        <w:rPr>
          <w:iCs/>
          <w:i/>
        </w:rPr>
        <w:t xml:space="preserve">a</w:t>
      </w:r>
      <w:r>
        <w:t xml:space="preserve">n</w:t>
      </w:r>
      <w:r>
        <w:rPr>
          <w:iCs/>
          <w:i/>
        </w:rPr>
        <w:t xml:space="preserve">y Berlin</w:t>
      </w:r>
      <w:r>
        <w:t xml:space="preserve">.</w:t>
      </w:r>
    </w:p>
    <w:bookmarkEnd w:id="23"/>
    <w:bookmarkStart w:id="24" w:name="expected-contributions-significance"/>
    <w:p>
      <w:pPr>
        <w:pStyle w:val="Heading2"/>
      </w:pPr>
      <w:r>
        <w:t xml:space="preserve">5. Expected Contributions &amp; Significance</w:t>
      </w:r>
    </w:p>
    <w:p>
      <w:pPr>
        <w:pStyle w:val="FirstParagraph"/>
      </w:pPr>
      <w:r>
        <w:t xml:space="preserve">This</w:t>
      </w:r>
      <w:r>
        <w:t xml:space="preserve"> </w:t>
      </w:r>
      <w:r>
        <w:rPr>
          <w:bCs/>
          <w:b/>
        </w:rPr>
        <w:t xml:space="preserve">Research Proposal</w:t>
      </w:r>
      <w:r>
        <w:t xml:space="preserve"> </w:t>
      </w:r>
      <w:r>
        <w:t xml:space="preserve">promises significant contributions:</w:t>
      </w:r>
    </w:p>
    <w:p>
      <w:pPr>
        <w:numPr>
          <w:ilvl w:val="0"/>
          <w:numId w:val="1003"/>
        </w:numPr>
        <w:pStyle w:val="Compact"/>
      </w:pPr>
      <w:r>
        <w:rPr>
          <w:bCs/>
          <w:b/>
        </w:rPr>
        <w:t xml:space="preserve">To the Banking Profession in Germany Berlin:</w:t>
      </w:r>
      <w:r>
        <w:t xml:space="preserve"> </w:t>
      </w:r>
      <w:r>
        <w:t xml:space="preserve">Provides empirically grounded insights to inform training curricula at Berlin-based institutions like the German Banking Academy (Deutsche Bankakademie) and universities (e.g., HU Berlin, TU Berlin), ensuring future Bankers are equipped for the specific demands of this market.</w:t>
      </w:r>
    </w:p>
    <w:p>
      <w:pPr>
        <w:numPr>
          <w:ilvl w:val="0"/>
          <w:numId w:val="1003"/>
        </w:numPr>
        <w:pStyle w:val="Compact"/>
      </w:pPr>
      <w:r>
        <w:rPr>
          <w:bCs/>
          <w:b/>
        </w:rPr>
        <w:t xml:space="preserve">To Regulators:</w:t>
      </w:r>
      <w:r>
        <w:t xml:space="preserve"> </w:t>
      </w:r>
      <w:r>
        <w:t xml:space="preserve">Offers data-driven feedback to BaFin on how regulatory implementation impacts frontline personnel in a major urban financial center like Berlin, potentially informing future guidance.</w:t>
      </w:r>
    </w:p>
    <w:p>
      <w:pPr>
        <w:numPr>
          <w:ilvl w:val="0"/>
          <w:numId w:val="1003"/>
        </w:numPr>
        <w:pStyle w:val="Compact"/>
      </w:pPr>
      <w:r>
        <w:rPr>
          <w:bCs/>
          <w:b/>
        </w:rPr>
        <w:t xml:space="preserve">To Financial Institutions:</w:t>
      </w:r>
      <w:r>
        <w:t xml:space="preserve"> </w:t>
      </w:r>
      <w:r>
        <w:t xml:space="preserve">Delivers actionable strategies for optimizing talent management, role design, and client service models specifically within the Berlin context, enhancing competitiveness against both traditional rivals and disruptive fintechs.</w:t>
      </w:r>
    </w:p>
    <w:p>
      <w:pPr>
        <w:numPr>
          <w:ilvl w:val="0"/>
          <w:numId w:val="1003"/>
        </w:numPr>
        <w:pStyle w:val="Compact"/>
      </w:pPr>
      <w:r>
        <w:rPr>
          <w:bCs/>
          <w:b/>
        </w:rPr>
        <w:t xml:space="preserve">To Academic Literature:</w:t>
      </w:r>
      <w:r>
        <w:t xml:space="preserve"> </w:t>
      </w:r>
      <w:r>
        <w:t xml:space="preserve">Fills the critical gap in localized research on the Banker's evolving role within a specific European financial metropolis, contributing to global understanding of banking transformation under German regulatory influence.</w:t>
      </w:r>
    </w:p>
    <w:bookmarkEnd w:id="24"/>
    <w:bookmarkStart w:id="25" w:name="timeline-feasibility-berlin-context"/>
    <w:p>
      <w:pPr>
        <w:pStyle w:val="Heading2"/>
      </w:pPr>
      <w:r>
        <w:t xml:space="preserve">6. Timeline &amp; Feasibility (Berlin Context)</w:t>
      </w:r>
    </w:p>
    <w:p>
      <w:pPr>
        <w:pStyle w:val="FirstParagraph"/>
      </w:pPr>
      <w:r>
        <w:t xml:space="preserve">The 14-month project is designed for seamless execution within Berlin's operational rhythm. Key phases include securing institutional partnerships with Berlin-based banks/fintechs (Months 1-3), survey deployment and data collection across the city's financial districts (Tiergarten, Mitte, Friedrichshain), interview scheduling with BaFin representatives in their Berlin offices (Months 4-8), and analysis/consultation within the German academic network. Berlin's strong digital infrastructure facilitates remote survey work, while its central location ensures easy access for researcher fieldwork. The city's active research ecosystem (e.g., DIW Berlin, Hertie School) provides additional support channels.</w:t>
      </w:r>
    </w:p>
    <w:bookmarkEnd w:id="25"/>
    <w:bookmarkStart w:id="26" w:name="conclusion"/>
    <w:p>
      <w:pPr>
        <w:pStyle w:val="Heading2"/>
      </w:pPr>
      <w:r>
        <w:t xml:space="preserve">7. Conclusion</w:t>
      </w:r>
    </w:p>
    <w:p>
      <w:pPr>
        <w:pStyle w:val="FirstParagraph"/>
      </w:pPr>
      <w:r>
        <w:t xml:space="preserve">The role of the Banker in</w:t>
      </w:r>
      <w:r>
        <w:t xml:space="preserve"> </w:t>
      </w:r>
      <w:r>
        <w:rPr>
          <w:iCs/>
          <w:i/>
        </w:rPr>
        <w:t xml:space="preserve">Germany Berlin</w:t>
      </w:r>
      <w:r>
        <w:t xml:space="preserve"> </w:t>
      </w:r>
      <w:r>
        <w:t xml:space="preserve">is at a decisive inflection point. This research proposal directly addresses the urgent need to understand and document this transformation within Berlin's unique ecosystem, moving beyond generic European or national perspectives. By focusing intensely on the professional experience of the individual Banker operating amidst Berlin's regulatory landscape and fintech energy, this study promises valuable, actionable knowledge. It is not merely an academic exercise; it is a strategic imperative for ensuring that</w:t>
      </w:r>
      <w:r>
        <w:t xml:space="preserve"> </w:t>
      </w:r>
      <w:r>
        <w:rPr>
          <w:iCs/>
          <w:i/>
        </w:rPr>
        <w:t xml:space="preserve">Germany Berlin</w:t>
      </w:r>
      <w:r>
        <w:t xml:space="preserve"> </w:t>
      </w:r>
      <w:r>
        <w:t xml:space="preserve">remains a resilient, innovative, and ethically grounded financial powerhouse where the modern Banker can thrive. This</w:t>
      </w:r>
      <w:r>
        <w:t xml:space="preserve"> </w:t>
      </w:r>
      <w:r>
        <w:rPr>
          <w:bCs/>
          <w:b/>
        </w:rPr>
        <w:t xml:space="preserve">Research Proposal</w:t>
      </w:r>
      <w:r>
        <w:t xml:space="preserve"> </w:t>
      </w:r>
      <w:r>
        <w:t xml:space="preserve">seeks funding to deliver these crucial insights to stakeholders shaping the future of banking in Germany's most dynamic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Germany Berlin's Financial Ecosystem</dc:title>
  <dc:creator/>
  <dc:language>en</dc:language>
  <cp:keywords/>
  <dcterms:created xsi:type="dcterms:W3CDTF">2026-07-22T06:22:10Z</dcterms:created>
  <dcterms:modified xsi:type="dcterms:W3CDTF">2026-07-22T06:22:10Z</dcterms:modified>
</cp:coreProperties>
</file>

<file path=docProps/custom.xml><?xml version="1.0" encoding="utf-8"?>
<Properties xmlns="http://schemas.openxmlformats.org/officeDocument/2006/custom-properties" xmlns:vt="http://schemas.openxmlformats.org/officeDocument/2006/docPropsVTypes"/>
</file>