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Munich,</w:t>
      </w:r>
      <w:r>
        <w:t xml:space="preserve"> </w:t>
      </w:r>
      <w:r>
        <w:t xml:space="preserve">Germany</w:t>
      </w:r>
    </w:p>
    <w:bookmarkStart w:id="29" w:name="Xd94228e2c0e64887f47c87f26d9feaca988bb76"/>
    <w:p>
      <w:pPr>
        <w:pStyle w:val="Heading1"/>
      </w:pPr>
      <w:r>
        <w:t xml:space="preserve">Research Proposal: The Evolving Role of the Banker in Munich, Germany's Financial Hub</w:t>
      </w:r>
    </w:p>
    <w:bookmarkStart w:id="20" w:name="introduction-and-background"/>
    <w:p>
      <w:pPr>
        <w:pStyle w:val="Heading2"/>
      </w:pPr>
      <w:r>
        <w:t xml:space="preserve">1. Introduction and Background</w:t>
      </w:r>
    </w:p>
    <w:p>
      <w:pPr>
        <w:pStyle w:val="FirstParagraph"/>
      </w:pPr>
      <w:r>
        <w:t xml:space="preserve">Munich, as Germany's second-largest city and a pivotal financial center within the European Union, hosts major institutions including Deutsche Bank's operational headquarters, Allianz Group, and numerous private banking firms. The German banking sector contributes significantly to the national economy (approximately 10% of GDP), yet faces unprecedented transformation driven by digital disruption, regulatory complexity (e.g., MiFID II and GDPR), and shifting client expectations. This research proposal addresses a critical gap:</w:t>
      </w:r>
      <w:r>
        <w:t xml:space="preserve"> </w:t>
      </w:r>
      <w:r>
        <w:rPr>
          <w:iCs/>
          <w:i/>
        </w:rPr>
        <w:t xml:space="preserve">how the core role of the banker is redefining itself in Munich's unique socio-economic ecosystem</w:t>
      </w:r>
      <w:r>
        <w:t xml:space="preserve">. Traditional banking paradigms are being challenged by fintech innovations, ESG integration, and post-pandemic client demands for personalized digital services. Without understanding this evolution, Munich-based financial institutions risk operational inefficiencies and loss of competitive edge in Germany’s premier financial market.</w:t>
      </w:r>
    </w:p>
    <w:bookmarkEnd w:id="20"/>
    <w:bookmarkStart w:id="21" w:name="problem-statement"/>
    <w:p>
      <w:pPr>
        <w:pStyle w:val="Heading2"/>
      </w:pPr>
      <w:r>
        <w:t xml:space="preserve">2. Problem Statement</w:t>
      </w:r>
    </w:p>
    <w:p>
      <w:pPr>
        <w:pStyle w:val="FirstParagraph"/>
      </w:pPr>
      <w:r>
        <w:t xml:space="preserve">Current literature largely examines banking trends at the national or EU level, neglecting Munich's hyper-local dynamics. While studies by the German Federal Bank (Deutsche Bundesbank) and McKinsey highlight sector-wide challenges, none investigate how Munich's distinct characteristics—its concentration of private wealth management firms (e.g., Hauck &amp; Aufhäuser), strong Mittelstand ties, and Bavarian cultural emphasis on discretion—affect the</w:t>
      </w:r>
      <w:r>
        <w:t xml:space="preserve"> </w:t>
      </w:r>
      <w:r>
        <w:rPr>
          <w:iCs/>
          <w:i/>
        </w:rPr>
        <w:t xml:space="preserve">practical execution</w:t>
      </w:r>
      <w:r>
        <w:t xml:space="preserve"> </w:t>
      </w:r>
      <w:r>
        <w:t xml:space="preserve">of banking roles. Crucially, this research identifies three unaddressed issues: (1) The erosion of traditional client-banker relationships due to digital onboarding tools; (2) Regulatory compliance burdens disproportionately impacting Munich’s private banks; and (3) Skill gaps in emerging domains like sustainable finance among local bankers. Ignoring these factors risks misaligning talent development with Munich's market realities.</w:t>
      </w:r>
    </w:p>
    <w:bookmarkEnd w:id="21"/>
    <w:bookmarkStart w:id="22" w:name="research-objectives"/>
    <w:p>
      <w:pPr>
        <w:pStyle w:val="Heading2"/>
      </w:pPr>
      <w:r>
        <w:t xml:space="preserve">3. Research Objectives</w:t>
      </w:r>
    </w:p>
    <w:p>
      <w:pPr>
        <w:pStyle w:val="FirstParagraph"/>
      </w:pPr>
      <w:r>
        <w:t xml:space="preserve">This study aims to deliver actionable insights for stakeholders through three specific objectives:</w:t>
      </w:r>
    </w:p>
    <w:p>
      <w:pPr>
        <w:numPr>
          <w:ilvl w:val="0"/>
          <w:numId w:val="1001"/>
        </w:numPr>
        <w:pStyle w:val="Compact"/>
      </w:pPr>
      <w:r>
        <w:rPr>
          <w:bCs/>
          <w:b/>
        </w:rPr>
        <w:t xml:space="preserve">Map the Transformation:</w:t>
      </w:r>
      <w:r>
        <w:t xml:space="preserve"> </w:t>
      </w:r>
      <w:r>
        <w:t xml:space="preserve">Document how the job description, daily responsibilities, and value proposition of Munich-based bankers have evolved (2018–2023) using quantitative and qualitative analysis.</w:t>
      </w:r>
    </w:p>
    <w:p>
      <w:pPr>
        <w:numPr>
          <w:ilvl w:val="0"/>
          <w:numId w:val="1001"/>
        </w:numPr>
        <w:pStyle w:val="Compact"/>
      </w:pPr>
      <w:r>
        <w:rPr>
          <w:bCs/>
          <w:b/>
        </w:rPr>
        <w:t xml:space="preserve">Analyze Local Barriers:</w:t>
      </w:r>
      <w:r>
        <w:t xml:space="preserve"> </w:t>
      </w:r>
      <w:r>
        <w:t xml:space="preserve">Identify regulatory, technological, and cultural obstacles unique to Germany’s Munich banking landscape that hinder effective banker-client engagement.</w:t>
      </w:r>
    </w:p>
    <w:p>
      <w:pPr>
        <w:numPr>
          <w:ilvl w:val="0"/>
          <w:numId w:val="1001"/>
        </w:numPr>
        <w:pStyle w:val="Compact"/>
      </w:pPr>
      <w:r>
        <w:rPr>
          <w:bCs/>
          <w:b/>
        </w:rPr>
        <w:t xml:space="preserve">Predict Future Trajectories:</w:t>
      </w:r>
      <w:r>
        <w:t xml:space="preserve"> </w:t>
      </w:r>
      <w:r>
        <w:t xml:space="preserve">Develop a competency framework for the "Munich Banker of 2030" integrating digital fluency, ESG expertise, and cultural intelligence required to serve Bavaria's affluent client base.</w:t>
      </w:r>
    </w:p>
    <w:bookmarkEnd w:id="22"/>
    <w:bookmarkStart w:id="23" w:name="literature-review-selected-highlights"/>
    <w:p>
      <w:pPr>
        <w:pStyle w:val="Heading2"/>
      </w:pPr>
      <w:r>
        <w:t xml:space="preserve">4. Literature Review (Selected Highlights)</w:t>
      </w:r>
    </w:p>
    <w:p>
      <w:pPr>
        <w:pStyle w:val="FirstParagraph"/>
      </w:pPr>
      <w:r>
        <w:t xml:space="preserve">Existing scholarship reveals global banking shifts: Deloitte’s 2023 Global Banking Outlook emphasizes AI-driven customer service, while the European Banking Authority notes rising compliance costs. However, Munich-specific research remains scarce. A 2021 study by Ludwig-Maximilians-Universität (LMU) identified Munich bankers' "high reliance on personal networks" as a cultural advantage but warned of digital adoption lag. This proposal bridges this gap by centering on</w:t>
      </w:r>
      <w:r>
        <w:t xml:space="preserve"> </w:t>
      </w:r>
      <w:r>
        <w:rPr>
          <w:iCs/>
          <w:i/>
        </w:rPr>
        <w:t xml:space="preserve">Germany's most strategic banking city</w:t>
      </w:r>
      <w:r>
        <w:t xml:space="preserve">. Crucially, it moves beyond theoretical models to examine real-world practice in the context of Germany’s robust private banking sector—where Munich accounts for 35% of the nation’s high-net-worth client assets (Bundesverband deutscher Banken, 2022).</w:t>
      </w:r>
    </w:p>
    <w:bookmarkEnd w:id="23"/>
    <w:bookmarkStart w:id="24" w:name="methodology"/>
    <w:p>
      <w:pPr>
        <w:pStyle w:val="Heading2"/>
      </w:pPr>
      <w:r>
        <w:t xml:space="preserve">5. Methodology</w:t>
      </w:r>
    </w:p>
    <w:p>
      <w:pPr>
        <w:pStyle w:val="FirstParagraph"/>
      </w:pPr>
      <w:r>
        <w:t xml:space="preserve">A mixed-methods approach will ensure rigor and local relevance:</w:t>
      </w:r>
    </w:p>
    <w:p>
      <w:pPr>
        <w:numPr>
          <w:ilvl w:val="0"/>
          <w:numId w:val="1002"/>
        </w:numPr>
        <w:pStyle w:val="Compact"/>
      </w:pPr>
      <w:r>
        <w:rPr>
          <w:bCs/>
          <w:b/>
        </w:rPr>
        <w:t xml:space="preserve">Phase 1: Quantitative Survey (Months 1–3):</w:t>
      </w:r>
      <w:r>
        <w:t xml:space="preserve"> </w:t>
      </w:r>
      <w:r>
        <w:t xml:space="preserve">Targeting 300+ Munich-based bankers (private, commercial, and corporate segments) via the Bayerische Landesbank. Metrics include digital tool usage rates, ESG integration depth, and perceived regulatory burden.</w:t>
      </w:r>
    </w:p>
    <w:p>
      <w:pPr>
        <w:numPr>
          <w:ilvl w:val="0"/>
          <w:numId w:val="1002"/>
        </w:numPr>
        <w:pStyle w:val="Compact"/>
      </w:pPr>
      <w:r>
        <w:rPr>
          <w:bCs/>
          <w:b/>
        </w:rPr>
        <w:t xml:space="preserve">Phase 2: Qualitative Deep Dives (Months 4–7):</w:t>
      </w:r>
      <w:r>
        <w:t xml:space="preserve"> </w:t>
      </w:r>
      <w:r>
        <w:t xml:space="preserve">Semi-structured interviews with 30 key informants: bankers from top Munich institutions (e.g., Bayerische Hypothekenbank), fintech partners (e.g., N26’s Munich office), and regulatory bodies (BaFin representatives).</w:t>
      </w:r>
    </w:p>
    <w:p>
      <w:pPr>
        <w:numPr>
          <w:ilvl w:val="0"/>
          <w:numId w:val="1002"/>
        </w:numPr>
        <w:pStyle w:val="Compact"/>
      </w:pPr>
      <w:r>
        <w:rPr>
          <w:bCs/>
          <w:b/>
        </w:rPr>
        <w:t xml:space="preserve">Phase 3: Comparative Analysis (Months 8–10):</w:t>
      </w:r>
      <w:r>
        <w:t xml:space="preserve"> </w:t>
      </w:r>
      <w:r>
        <w:t xml:space="preserve">Benchmarking findings against Frankfurt and Zurich using secondary data, focusing on how Munich’s "Bavarian client culture" alters service delivery.</w:t>
      </w:r>
    </w:p>
    <w:p>
      <w:pPr>
        <w:numPr>
          <w:ilvl w:val="0"/>
          <w:numId w:val="1002"/>
        </w:numPr>
        <w:pStyle w:val="Compact"/>
      </w:pPr>
      <w:r>
        <w:rPr>
          <w:bCs/>
          <w:b/>
        </w:rPr>
        <w:t xml:space="preserve">Data Triangulation:</w:t>
      </w:r>
      <w:r>
        <w:t xml:space="preserve"> </w:t>
      </w:r>
      <w:r>
        <w:t xml:space="preserve">Cross-verifying survey responses with interview transcripts and industry reports to ensure validity within Germany's specific legal framework.</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w:t>
      </w:r>
    </w:p>
    <w:p>
      <w:pPr>
        <w:numPr>
          <w:ilvl w:val="0"/>
          <w:numId w:val="1003"/>
        </w:numPr>
        <w:pStyle w:val="Compact"/>
      </w:pPr>
      <w:r>
        <w:rPr>
          <w:iCs/>
          <w:i/>
        </w:rPr>
        <w:t xml:space="preserve">A Munich Banking Role Matrix</w:t>
      </w:r>
      <w:r>
        <w:t xml:space="preserve"> </w:t>
      </w:r>
      <w:r>
        <w:t xml:space="preserve">outlining 15+ core competencies for modern bankers (e.g., "ESG Impact Reporting for Bavarian Family Businesses"), directly usable by HR departments at Munich institutions.</w:t>
      </w:r>
    </w:p>
    <w:p>
      <w:pPr>
        <w:numPr>
          <w:ilvl w:val="0"/>
          <w:numId w:val="1003"/>
        </w:numPr>
        <w:pStyle w:val="Compact"/>
      </w:pPr>
      <w:r>
        <w:rPr>
          <w:iCs/>
          <w:i/>
        </w:rPr>
        <w:t xml:space="preserve">A Regulatory Stress-Test Tool</w:t>
      </w:r>
      <w:r>
        <w:t xml:space="preserve"> </w:t>
      </w:r>
      <w:r>
        <w:t xml:space="preserve">to simulate compliance impacts of upcoming German laws (e.g., Climate Risk Disclosure) on banker workflows, enabling proactive adaptation.</w:t>
      </w:r>
    </w:p>
    <w:p>
      <w:pPr>
        <w:numPr>
          <w:ilvl w:val="0"/>
          <w:numId w:val="1003"/>
        </w:numPr>
        <w:pStyle w:val="Compact"/>
      </w:pPr>
      <w:r>
        <w:rPr>
          <w:iCs/>
          <w:i/>
        </w:rPr>
        <w:t xml:space="preserve">An Actionable Roadmap</w:t>
      </w:r>
      <w:r>
        <w:t xml:space="preserve"> </w:t>
      </w:r>
      <w:r>
        <w:t xml:space="preserve">for upskilling Munich’s banking workforce, including partnerships with Munich Technical University (TUM) for targeted certification programs.</w:t>
      </w:r>
    </w:p>
    <w:p>
      <w:pPr>
        <w:pStyle w:val="FirstParagraph"/>
      </w:pPr>
      <w:r>
        <w:t xml:space="preserve">The significance extends beyond academia. For Germany’s economy—where finance accounts for 11% of employment—the findings will empower Munich to maintain its position as Europe's second financial hub amid rising competition from London and Zurich. Banks adopting the proposed framework can reduce client attrition (estimated at 18% annually in Munich due to digital gaps) while enhancing service depth, directly contributing to Germany’s "Industry 4.0" goals through financial innovation.</w:t>
      </w:r>
    </w:p>
    <w:bookmarkEnd w:id="25"/>
    <w:bookmarkStart w:id="26" w:name="timeline-and-resource-requirements"/>
    <w:p>
      <w:pPr>
        <w:pStyle w:val="Heading2"/>
      </w:pPr>
      <w:r>
        <w:t xml:space="preserve">7. Timeline and Resource Requirements</w:t>
      </w:r>
    </w:p>
    <w:p>
      <w:pPr>
        <w:pStyle w:val="FirstParagraph"/>
      </w:pPr>
      <w:r>
        <w:t xml:space="preserve">Over a 12-month period:</w:t>
      </w:r>
    </w:p>
    <w:p>
      <w:pPr>
        <w:numPr>
          <w:ilvl w:val="0"/>
          <w:numId w:val="1004"/>
        </w:numPr>
        <w:pStyle w:val="Compact"/>
      </w:pPr>
      <w:r>
        <w:rPr>
          <w:bCs/>
          <w:b/>
        </w:rPr>
        <w:t xml:space="preserve">Months 1–3:</w:t>
      </w:r>
      <w:r>
        <w:t xml:space="preserve"> </w:t>
      </w:r>
      <w:r>
        <w:t xml:space="preserve">Survey design, ethics approval (from LMU Ethics Committee), and stakeholder engagement with Munich Financial Association.</w:t>
      </w:r>
    </w:p>
    <w:p>
      <w:pPr>
        <w:numPr>
          <w:ilvl w:val="0"/>
          <w:numId w:val="1004"/>
        </w:numPr>
        <w:pStyle w:val="Compact"/>
      </w:pPr>
      <w:r>
        <w:rPr>
          <w:bCs/>
          <w:b/>
        </w:rPr>
        <w:t xml:space="preserve">Months 4–7:</w:t>
      </w:r>
      <w:r>
        <w:t xml:space="preserve"> </w:t>
      </w:r>
      <w:r>
        <w:t xml:space="preserve">Data collection via online surveys and in-person interviews across Munich districts (Neuhausen, Schwabing).</w:t>
      </w:r>
    </w:p>
    <w:p>
      <w:pPr>
        <w:numPr>
          <w:ilvl w:val="0"/>
          <w:numId w:val="1004"/>
        </w:numPr>
        <w:pStyle w:val="Compact"/>
      </w:pPr>
      <w:r>
        <w:rPr>
          <w:bCs/>
          <w:b/>
        </w:rPr>
        <w:t xml:space="preserve">Months 8–10:</w:t>
      </w:r>
      <w:r>
        <w:t xml:space="preserve"> </w:t>
      </w:r>
      <w:r>
        <w:t xml:space="preserve">Data analysis using NVivo software; draft framework development.</w:t>
      </w:r>
    </w:p>
    <w:p>
      <w:pPr>
        <w:numPr>
          <w:ilvl w:val="0"/>
          <w:numId w:val="1004"/>
        </w:numPr>
        <w:pStyle w:val="Compact"/>
      </w:pPr>
      <w:r>
        <w:rPr>
          <w:bCs/>
          <w:b/>
        </w:rPr>
        <w:t xml:space="preserve">Months 11–12:</w:t>
      </w:r>
      <w:r>
        <w:t xml:space="preserve"> </w:t>
      </w:r>
      <w:r>
        <w:t xml:space="preserve">Stakeholder validation workshop in Munich with representatives from Commerzbank, BayernLB, and the Bavarian State Ministry of Finance; final report submission.</w:t>
      </w:r>
    </w:p>
    <w:p>
      <w:pPr>
        <w:pStyle w:val="FirstParagraph"/>
      </w:pPr>
      <w:r>
        <w:t xml:space="preserve">Required resources: €85,000 (covering researcher salaries, travel for fieldwork in Munich districts, software licenses). All data will adhere to GDPR compliance standards applicable across Germany.</w:t>
      </w:r>
    </w:p>
    <w:bookmarkEnd w:id="26"/>
    <w:bookmarkStart w:id="27" w:name="conclusion"/>
    <w:p>
      <w:pPr>
        <w:pStyle w:val="Heading2"/>
      </w:pPr>
      <w:r>
        <w:t xml:space="preserve">8. Conclusion</w:t>
      </w:r>
    </w:p>
    <w:p>
      <w:pPr>
        <w:pStyle w:val="FirstParagraph"/>
      </w:pPr>
      <w:r>
        <w:t xml:space="preserve">The future of banking in Germany hinges on understanding how the</w:t>
      </w:r>
      <w:r>
        <w:t xml:space="preserve"> </w:t>
      </w:r>
      <w:r>
        <w:rPr>
          <w:iCs/>
          <w:i/>
        </w:rPr>
        <w:t xml:space="preserve">human element of the banker</w:t>
      </w:r>
      <w:r>
        <w:t xml:space="preserve"> </w:t>
      </w:r>
      <w:r>
        <w:t xml:space="preserve">adapts within localized ecosystems like Munich. This proposal tackles a defining challenge: transforming banks from transactional service providers into strategic partners for Bavarian clients navigating digital, regulatory, and sustainability complexities. By centering our research on Munich—a city where tradition meets innovation—we deliver not just academic insights but a practical blueprint for Germany’s financial leadership. The outcomes will empower bankers to transcend automation, deepen client trust in a volatile era, and solidify Munich’s status as Europe’s most resilient banking center. This research directly responds to the urgent need for context-specific knowledge in</w:t>
      </w:r>
      <w:r>
        <w:t xml:space="preserve"> </w:t>
      </w:r>
      <w:r>
        <w:rPr>
          <w:iCs/>
          <w:i/>
        </w:rPr>
        <w:t xml:space="preserve">Germany Munich</w:t>
      </w:r>
      <w:r>
        <w:t xml:space="preserve">'s dynamic financial landscape, ensuring that the banker remains indispensable—not obsolete—in tomorrow's economy.</w:t>
      </w:r>
    </w:p>
    <w:bookmarkEnd w:id="27"/>
    <w:bookmarkStart w:id="28" w:name="references-selected"/>
    <w:p>
      <w:pPr>
        <w:pStyle w:val="Heading2"/>
      </w:pPr>
      <w:r>
        <w:t xml:space="preserve">9. References (Selected)</w:t>
      </w:r>
    </w:p>
    <w:p>
      <w:pPr>
        <w:numPr>
          <w:ilvl w:val="0"/>
          <w:numId w:val="1005"/>
        </w:numPr>
        <w:pStyle w:val="Compact"/>
      </w:pPr>
      <w:r>
        <w:t xml:space="preserve">Bundesverband deutscher Banken. (2022). *Private Banking in Germany: Munich as a Strategic Hub*. Berlin.</w:t>
      </w:r>
    </w:p>
    <w:p>
      <w:pPr>
        <w:numPr>
          <w:ilvl w:val="0"/>
          <w:numId w:val="1005"/>
        </w:numPr>
        <w:pStyle w:val="Compact"/>
      </w:pPr>
      <w:r>
        <w:t xml:space="preserve">Deutsche Bundesbank. (2023). *Digital Transformation and Compliance Costs in German Banks*. Frankfurt.</w:t>
      </w:r>
    </w:p>
    <w:p>
      <w:pPr>
        <w:numPr>
          <w:ilvl w:val="0"/>
          <w:numId w:val="1005"/>
        </w:numPr>
        <w:pStyle w:val="Compact"/>
      </w:pPr>
      <w:r>
        <w:t xml:space="preserve">Ludwig-Maximilians-Universität München. (2021). *Cultural Dynamics of Client Relationships in Munich Banking*. Journal of Financial Services Research, 64(3), 112–130.</w:t>
      </w:r>
    </w:p>
    <w:p>
      <w:pPr>
        <w:numPr>
          <w:ilvl w:val="0"/>
          <w:numId w:val="1005"/>
        </w:numPr>
        <w:pStyle w:val="Compact"/>
      </w:pPr>
      <w:r>
        <w:t xml:space="preserve">McKinsey &amp; Company. (2023). *The Future of Banking: A European Perspective*. Paris.</w:t>
      </w:r>
    </w:p>
    <w:p>
      <w:pPr>
        <w:pStyle w:val="FirstParagraph"/>
      </w:pPr>
      <w:r>
        <w:rPr>
          <w:iCs/>
          <w:i/>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Munich, Germany</dc:title>
  <dc:creator/>
  <dc:language>en</dc:language>
  <cp:keywords/>
  <dcterms:created xsi:type="dcterms:W3CDTF">2026-07-22T03:16:11Z</dcterms:created>
  <dcterms:modified xsi:type="dcterms:W3CDTF">2026-07-22T03:16:11Z</dcterms:modified>
</cp:coreProperties>
</file>

<file path=docProps/custom.xml><?xml version="1.0" encoding="utf-8"?>
<Properties xmlns="http://schemas.openxmlformats.org/officeDocument/2006/custom-properties" xmlns:vt="http://schemas.openxmlformats.org/officeDocument/2006/docPropsVTypes"/>
</file>