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w:t>
      </w:r>
      <w:r>
        <w:t xml:space="preserve"> </w:t>
      </w:r>
      <w:r>
        <w:t xml:space="preserve">Banker</w:t>
      </w:r>
      <w:r>
        <w:t xml:space="preserve"> </w:t>
      </w:r>
      <w:r>
        <w:t xml:space="preserve">in</w:t>
      </w:r>
      <w:r>
        <w:t xml:space="preserve"> </w:t>
      </w:r>
      <w:r>
        <w:t xml:space="preserve">Indonesia</w:t>
      </w:r>
      <w:r>
        <w:t xml:space="preserve"> </w:t>
      </w:r>
      <w:r>
        <w:t xml:space="preserve">Jakarta's</w:t>
      </w:r>
      <w:r>
        <w:t xml:space="preserve"> </w:t>
      </w:r>
      <w:r>
        <w:t xml:space="preserve">Financial</w:t>
      </w:r>
      <w:r>
        <w:t xml:space="preserve"> </w:t>
      </w:r>
      <w:r>
        <w:t xml:space="preserve">Ecosystem</w:t>
      </w:r>
    </w:p>
    <w:bookmarkStart w:id="30" w:name="X4560c23901b756387b9f42fbb497baf0df30532"/>
    <w:p>
      <w:pPr>
        <w:pStyle w:val="Heading1"/>
      </w:pPr>
      <w:r>
        <w:t xml:space="preserve">Research Proposal: The Evolving Role of a Banker in Indonesia Jakarta's Financial Ecosystem</w:t>
      </w:r>
    </w:p>
    <w:bookmarkStart w:id="20" w:name="introduction-and-background"/>
    <w:p>
      <w:pPr>
        <w:pStyle w:val="Heading2"/>
      </w:pPr>
      <w:r>
        <w:t xml:space="preserve">1. Introduction and Background</w:t>
      </w:r>
    </w:p>
    <w:p>
      <w:pPr>
        <w:pStyle w:val="FirstParagraph"/>
      </w:pPr>
      <w:r>
        <w:t xml:space="preserve">The financial landscape of Indonesia Jakarta has undergone profound transformation in the past decade, positioning it as Southeast Asia's most dynamic economic hub. As the capital city and primary financial center of Indonesia, Jakarta houses over 50% of the nation's banking institutions and accounts for 40% of national GDP. This research proposal addresses a critical gap in understanding how modern</w:t>
      </w:r>
      <w:r>
        <w:t xml:space="preserve"> </w:t>
      </w:r>
      <w:r>
        <w:rPr>
          <w:bCs/>
          <w:b/>
        </w:rPr>
        <w:t xml:space="preserve">Banker</w:t>
      </w:r>
      <w:r>
        <w:t xml:space="preserve"> </w:t>
      </w:r>
      <w:r>
        <w:t xml:space="preserve">professionals navigate complex regulatory frameworks, digital disruption, and socio-economic diversity within Indonesia Jakarta's unique context. With Indonesia projected to become the world's seventh-largest economy by 2030, the role of a banker extends far beyond traditional credit assessment—it now encompasses financial inclusion, digital literacy advocacy, and sustainable finance leadership. This</w:t>
      </w:r>
      <w:r>
        <w:t xml:space="preserve"> </w:t>
      </w:r>
      <w:r>
        <w:rPr>
          <w:bCs/>
          <w:b/>
        </w:rPr>
        <w:t xml:space="preserve">Research Proposal</w:t>
      </w:r>
      <w:r>
        <w:t xml:space="preserve"> </w:t>
      </w:r>
      <w:r>
        <w:t xml:space="preserve">seeks to investigate how bankers in Jakarta adapt their practices to serve both cosmopolitan urban populations and underserved rural communities connected through Jakarta's financial network.</w:t>
      </w:r>
    </w:p>
    <w:bookmarkEnd w:id="20"/>
    <w:bookmarkStart w:id="21" w:name="problem-statement"/>
    <w:p>
      <w:pPr>
        <w:pStyle w:val="Heading2"/>
      </w:pPr>
      <w:r>
        <w:t xml:space="preserve">2. Problem Statement</w:t>
      </w:r>
    </w:p>
    <w:p>
      <w:pPr>
        <w:pStyle w:val="FirstParagraph"/>
      </w:pPr>
      <w:r>
        <w:t xml:space="preserve">A significant challenge persists in Indonesia Jakarta: despite banking sector growth (17% CAGR from 2015-2023), 45% of the population remains underbanked according to Bank Indonesia's 2023 report. This gap is exacerbated by Jakarta's demographic complexity—where ultra-high-net-worth individuals coexist with informal sector workers earning below minimum wage. Traditional</w:t>
      </w:r>
      <w:r>
        <w:t xml:space="preserve"> </w:t>
      </w:r>
      <w:r>
        <w:rPr>
          <w:bCs/>
          <w:b/>
        </w:rPr>
        <w:t xml:space="preserve">Banker</w:t>
      </w:r>
      <w:r>
        <w:t xml:space="preserve"> </w:t>
      </w:r>
      <w:r>
        <w:t xml:space="preserve">approaches fail to address this duality, leading to inefficient resource allocation and missed opportunities for inclusive growth. Furthermore, the rapid adoption of fintech solutions (e.g., GoPay, OVO) has created a skills gap among bankers untrained in digital customer engagement. Without understanding Jakarta-specific dynamics—such as flood-prone districts requiring mobile banking or Sharia-compliant products for 85% of Indonesian consumers—bankers risk exacerbating financial exclusion. This</w:t>
      </w:r>
      <w:r>
        <w:t xml:space="preserve"> </w:t>
      </w:r>
      <w:r>
        <w:rPr>
          <w:bCs/>
          <w:b/>
        </w:rPr>
        <w:t xml:space="preserve">Research Proposal</w:t>
      </w:r>
      <w:r>
        <w:t xml:space="preserve"> </w:t>
      </w:r>
      <w:r>
        <w:t xml:space="preserve">directly confronts these challenges by examining the evolving competencies required of a banker in Indonesia Jakarta.</w:t>
      </w:r>
    </w:p>
    <w:bookmarkEnd w:id="21"/>
    <w:bookmarkStart w:id="22" w:name="research-objectives"/>
    <w:p>
      <w:pPr>
        <w:pStyle w:val="Heading2"/>
      </w:pPr>
      <w:r>
        <w:t xml:space="preserve">3. Research Objectives</w:t>
      </w:r>
    </w:p>
    <w:p>
      <w:pPr>
        <w:numPr>
          <w:ilvl w:val="0"/>
          <w:numId w:val="1001"/>
        </w:numPr>
        <w:pStyle w:val="Compact"/>
      </w:pPr>
      <w:r>
        <w:t xml:space="preserve">To map the current skill sets and daily responsibilities of bankers across 15 major banks operating in Indonesia Jakarta, including conventional and Islamic institutions.</w:t>
      </w:r>
    </w:p>
    <w:p>
      <w:pPr>
        <w:numPr>
          <w:ilvl w:val="0"/>
          <w:numId w:val="1001"/>
        </w:numPr>
        <w:pStyle w:val="Compact"/>
      </w:pPr>
      <w:r>
        <w:t xml:space="preserve">To identify regulatory barriers (e.g., Bank Indonesia's PBI 16/2023 on digital banking) impacting a banker's ability to implement financial inclusion initiatives in Jakarta.</w:t>
      </w:r>
    </w:p>
    <w:p>
      <w:pPr>
        <w:numPr>
          <w:ilvl w:val="0"/>
          <w:numId w:val="1001"/>
        </w:numPr>
        <w:pStyle w:val="Compact"/>
      </w:pPr>
      <w:r>
        <w:t xml:space="preserve">To analyze case studies of successful banker-led financial inclusion programs in Jakarta districts (e.g., Cilincing, Tangerang) and their scalability.</w:t>
      </w:r>
    </w:p>
    <w:p>
      <w:pPr>
        <w:numPr>
          <w:ilvl w:val="0"/>
          <w:numId w:val="1001"/>
        </w:numPr>
        <w:pStyle w:val="Compact"/>
      </w:pPr>
      <w:r>
        <w:t xml:space="preserve">To develop a competency framework for the future-focused</w:t>
      </w:r>
      <w:r>
        <w:t xml:space="preserve"> </w:t>
      </w:r>
      <w:r>
        <w:rPr>
          <w:bCs/>
          <w:b/>
        </w:rPr>
        <w:t xml:space="preserve">Banker</w:t>
      </w:r>
      <w:r>
        <w:t xml:space="preserve"> </w:t>
      </w:r>
      <w:r>
        <w:t xml:space="preserve">tailored to Indonesia Jakarta's socioeconomic mosaic.</w:t>
      </w:r>
    </w:p>
    <w:bookmarkEnd w:id="22"/>
    <w:bookmarkStart w:id="23" w:name="literature-review"/>
    <w:p>
      <w:pPr>
        <w:pStyle w:val="Heading2"/>
      </w:pPr>
      <w:r>
        <w:t xml:space="preserve">4. Literature Review</w:t>
      </w:r>
    </w:p>
    <w:p>
      <w:pPr>
        <w:pStyle w:val="FirstParagraph"/>
      </w:pPr>
      <w:r>
        <w:t xml:space="preserve">Existing studies on Indonesian banking (Widodo, 2021; Suryani &amp; Hidayat, 2022) emphasize macroeconomic trends but neglect ground-level banker experiences. Research by the World Bank (2023) highlights Jakarta's "financial deserts" in peri-urban areas yet fails to connect this to banker training gaps. Notably, no study has examined how Indonesia Jakarta's unique geography—separated by 14 rivers and experiencing 45% annual rainfall—impacts branchless banking models. This</w:t>
      </w:r>
      <w:r>
        <w:t xml:space="preserve"> </w:t>
      </w:r>
      <w:r>
        <w:rPr>
          <w:bCs/>
          <w:b/>
        </w:rPr>
        <w:t xml:space="preserve">Research Proposal</w:t>
      </w:r>
      <w:r>
        <w:t xml:space="preserve"> </w:t>
      </w:r>
      <w:r>
        <w:t xml:space="preserve">bridges this gap by integrating spatial analysis with personnel studies, building on KPMG's (2022) findings about digital literacy as the top banker competency in emerging markets.</w:t>
      </w:r>
    </w:p>
    <w:bookmarkEnd w:id="23"/>
    <w:bookmarkStart w:id="24" w:name="methodology"/>
    <w:p>
      <w:pPr>
        <w:pStyle w:val="Heading2"/>
      </w:pPr>
      <w:r>
        <w:t xml:space="preserve">5. Methodology</w:t>
      </w:r>
    </w:p>
    <w:p>
      <w:pPr>
        <w:pStyle w:val="FirstParagraph"/>
      </w:pPr>
      <w:r>
        <w:t xml:space="preserve">This mixed-methods study will be conducted over 18 months across Indonesia Jakarta. Phase 1 (Months 1-6) involves quantitative analysis of banking performance data from Bank Indonesia and surveys targeting 300+ bankers across conventional, Islamic, and digital banks in Jakarta's core (Jakarta Pusat), commercial (Kemang, SCBD), and informal sectors. Phase 2 (Months 7-12) employs qualitative methods: semi-structured interviews with 40 bankers at varying seniority levels and focus groups in two high-needs districts (e.g., East Jakarta's Kampung Melayu). Crucially, we will utilize Jakarta-specific geographic information systems (GIS) to correlate banking access points with flood risk maps from BMKG (Indonesian Meteorology Agency), revealing how environmental factors shape a banker's operational strategy. Phase 3 (Months 13-18) synthesizes findings into a competency framework validated by Indonesia's Association of Bankers and Bank Indonesia officials.</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transformative outputs: First, a Jakarta-specific</w:t>
      </w:r>
      <w:r>
        <w:t xml:space="preserve"> </w:t>
      </w:r>
      <w:r>
        <w:rPr>
          <w:bCs/>
          <w:b/>
        </w:rPr>
        <w:t xml:space="preserve">Banker</w:t>
      </w:r>
      <w:r>
        <w:t xml:space="preserve"> </w:t>
      </w:r>
      <w:r>
        <w:t xml:space="preserve">Competency Matrix identifying 8 core skills beyond traditional finance (e.g., climate-resilient product design, multi-lingual digital literacy for diverse communities). Second, a policy brief proposing regulatory adjustments to Bank Indonesia's guidelines that support banker-led inclusion initiatives. Third, an implementation toolkit for banks operating in Indonesia Jakarta—featuring district-level case studies on serving informal traders (e.g., "Warung" entrepreneurs) and disaster-affected communities. The significance extends beyond academia: By demonstrating how a modern banker can serve both elite corporate clients and flood-vulnerable micro-entrepreneurs, this</w:t>
      </w:r>
      <w:r>
        <w:t xml:space="preserve"> </w:t>
      </w:r>
      <w:r>
        <w:rPr>
          <w:bCs/>
          <w:b/>
        </w:rPr>
        <w:t xml:space="preserve">Research Proposal</w:t>
      </w:r>
      <w:r>
        <w:t xml:space="preserve"> </w:t>
      </w:r>
      <w:r>
        <w:t xml:space="preserve">offers scalable solutions for Indonesia's $620B financial sector. Success will directly advance Indonesia's National Financial Inclusion Strategy (2019-2035), targeting 98% household banking penetration by 2035.</w:t>
      </w:r>
    </w:p>
    <w:bookmarkEnd w:id="25"/>
    <w:bookmarkStart w:id="26" w:name="X7fe948b647d41007c9e195a52f1991c75df81aa"/>
    <w:p>
      <w:pPr>
        <w:pStyle w:val="Heading2"/>
      </w:pPr>
      <w:r>
        <w:t xml:space="preserve">7. Ethical Considerations and Local Collaboration</w:t>
      </w:r>
    </w:p>
    <w:p>
      <w:pPr>
        <w:pStyle w:val="FirstParagraph"/>
      </w:pPr>
      <w:r>
        <w:t xml:space="preserve">Given Jakarta's sensitive socio-economic fabric, all data collection adheres to Indonesia's Personal Data Protection Law (PDP Law No. 11/2020). The research team includes two Indonesian researchers from Universitas Indonesia’s Faculty of Economics, ensuring cultural context is prioritized. Partnerships with Bank Indonesia and the Financial Services Authority (OJK) will guarantee findings align with national priorities. Crucially, all participant consent forms will be available in Bahasa Indonesia and Sundanese to accommodate Jakarta's multilingual workforce—a consideration absent in prior studies.</w:t>
      </w:r>
    </w:p>
    <w:bookmarkEnd w:id="26"/>
    <w:bookmarkStart w:id="27" w:name="timeline"/>
    <w:p>
      <w:pPr>
        <w:pStyle w:val="Heading2"/>
      </w:pPr>
      <w:r>
        <w:t xml:space="preserve">8.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Preparation &amp; Ethics Approval</w:t>
      </w:r>
    </w:p>
    <w:p>
      <w:pPr>
        <w:pStyle w:val="BodyText"/>
      </w:pPr>
      <w:r>
        <w:t xml:space="preserve">1-3</w:t>
      </w:r>
    </w:p>
    <w:p>
      <w:pPr>
        <w:pStyle w:val="BodyText"/>
      </w:pPr>
      <w:r>
        <w:t xml:space="preserve">OJK collaboration agreement; ethics clearance from Universitas Indonesia</w:t>
      </w:r>
    </w:p>
    <w:p>
      <w:pPr>
        <w:pStyle w:val="BodyText"/>
      </w:pPr>
      <w:r>
        <w:t xml:space="preserve">Data Collection (Quantitative)</w:t>
      </w:r>
    </w:p>
    <w:p>
      <w:pPr>
        <w:pStyle w:val="BodyText"/>
      </w:pPr>
      <w:r>
        <w:t xml:space="preserve">4-6</w:t>
      </w:r>
    </w:p>
    <w:p>
      <w:pPr>
        <w:pStyle w:val="BodyText"/>
      </w:pPr>
      <w:r>
        <w:t xml:space="preserve">Research Proposal Document Continues Below</w:t>
      </w:r>
    </w:p>
    <w:bookmarkEnd w:id="27"/>
    <w:bookmarkStart w:id="28" w:name="conclusion"/>
    <w:p>
      <w:pPr>
        <w:pStyle w:val="Heading2"/>
      </w:pPr>
      <w:r>
        <w:t xml:space="preserve">9. Conclusion</w:t>
      </w:r>
    </w:p>
    <w:p>
      <w:pPr>
        <w:pStyle w:val="FirstParagraph"/>
      </w:pPr>
      <w:r>
        <w:t xml:space="preserve">In Indonesia Jakarta—a city where a single day may involve advising cryptocurrency startups in Central Jakarta while training community bankers in flooded West Java districts—the traditional definition of a</w:t>
      </w:r>
      <w:r>
        <w:t xml:space="preserve"> </w:t>
      </w:r>
      <w:r>
        <w:rPr>
          <w:bCs/>
          <w:b/>
        </w:rPr>
        <w:t xml:space="preserve">Banker</w:t>
      </w:r>
      <w:r>
        <w:t xml:space="preserve"> </w:t>
      </w:r>
      <w:r>
        <w:t xml:space="preserve">is obsolete. This Research Proposal pioneers an investigation into how financial professionals can become catalysts for equitable growth amid urbanization, climate vulnerability, and digital revolution. By centering our study on Jakarta’s lived realities—from the congestion of Senayan to the flood-prone villages of Cilincing—we provide actionable insights that transcend mere academic interest. The resulting framework will empower bankers across Indonesia Jakarta to move beyond transactional roles toward strategic community partnership, directly contributing to Indonesia's vision of "Financial Inclusion for All." This research is not merely about banking; it is about building a more resilient financial ecosystem where every community in Indonesia Jakarta has the opportunity to thrive.</w:t>
      </w:r>
    </w:p>
    <w:bookmarkEnd w:id="28"/>
    <w:bookmarkStart w:id="29" w:name="references-selected"/>
    <w:p>
      <w:pPr>
        <w:pStyle w:val="Heading2"/>
      </w:pPr>
      <w:r>
        <w:t xml:space="preserve">10. References (Selected)</w:t>
      </w:r>
    </w:p>
    <w:p>
      <w:pPr>
        <w:numPr>
          <w:ilvl w:val="0"/>
          <w:numId w:val="1002"/>
        </w:numPr>
        <w:pStyle w:val="Compact"/>
      </w:pPr>
      <w:r>
        <w:t xml:space="preserve">Bank Indonesia. (2023). *National Financial Inclusion Survey*. Jakarta: BI Publications.</w:t>
      </w:r>
    </w:p>
    <w:p>
      <w:pPr>
        <w:numPr>
          <w:ilvl w:val="0"/>
          <w:numId w:val="1002"/>
        </w:numPr>
        <w:pStyle w:val="Compact"/>
      </w:pPr>
      <w:r>
        <w:t xml:space="preserve">KPMG. (2022). *Digital Banking in ASEAN: The Banker’s Role in 5G Era*. Jakarta: KPMG Indonesia.</w:t>
      </w:r>
    </w:p>
    <w:p>
      <w:pPr>
        <w:numPr>
          <w:ilvl w:val="0"/>
          <w:numId w:val="1002"/>
        </w:numPr>
        <w:pStyle w:val="Compact"/>
      </w:pPr>
      <w:r>
        <w:t xml:space="preserve">World Bank. (2023). *Indonesia Economic Prospects: Financial Inclusion and Climate Resilience*. Washington, DC.</w:t>
      </w:r>
    </w:p>
    <w:p>
      <w:pPr>
        <w:numPr>
          <w:ilvl w:val="0"/>
          <w:numId w:val="1002"/>
        </w:numPr>
        <w:pStyle w:val="Compact"/>
      </w:pPr>
      <w:r>
        <w:t xml:space="preserve">Suryani, D., &amp; Hidayat, A. (2022). "Islamic Banking Adoption in Urban Indonesia." *Journal of Islamic Finance*, 15(3), 45-67.</w:t>
      </w:r>
    </w:p>
    <w:p>
      <w:pPr>
        <w:pStyle w:val="FirstParagraph"/>
      </w:pPr>
      <w:r>
        <w:t xml:space="preserve">This Research Proposal constitutes a rigorous, context-specific investigation into the indispensable role of the modern Banker within Indonesia Jakarta's evolving financial ecosystem. It addresses a critical gap in understanding how bankers navigate socioeconomic complexity while advancing national goals of inclusion and resilience.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a Banker in Indonesia Jakarta's Financial Ecosystem</dc:title>
  <dc:creator/>
  <dc:language>en</dc:language>
  <cp:keywords/>
  <dcterms:created xsi:type="dcterms:W3CDTF">2026-07-21T06:21:26Z</dcterms:created>
  <dcterms:modified xsi:type="dcterms:W3CDTF">2026-07-21T06:21:26Z</dcterms:modified>
</cp:coreProperties>
</file>

<file path=docProps/custom.xml><?xml version="1.0" encoding="utf-8"?>
<Properties xmlns="http://schemas.openxmlformats.org/officeDocument/2006/custom-properties" xmlns:vt="http://schemas.openxmlformats.org/officeDocument/2006/docPropsVTypes"/>
</file>