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Iran's</w:t>
      </w:r>
      <w:r>
        <w:t xml:space="preserve"> </w:t>
      </w:r>
      <w:r>
        <w:t xml:space="preserve">Tehran</w:t>
      </w:r>
      <w:r>
        <w:t xml:space="preserve"> </w:t>
      </w:r>
      <w:r>
        <w:t xml:space="preserve">Banking</w:t>
      </w:r>
      <w:r>
        <w:t xml:space="preserve"> </w:t>
      </w:r>
      <w:r>
        <w:t xml:space="preserve">Sector</w:t>
      </w:r>
    </w:p>
    <w:bookmarkStart w:id="29" w:name="Xe847059af2a60f05ba55a058a36ea3605b50637"/>
    <w:p>
      <w:pPr>
        <w:pStyle w:val="Heading1"/>
      </w:pPr>
      <w:r>
        <w:t xml:space="preserve">Research Proposal: The Evolving Role of the Banker in Iran's Tehran Banking Sector</w:t>
      </w:r>
    </w:p>
    <w:bookmarkStart w:id="20" w:name="abstract"/>
    <w:p>
      <w:pPr>
        <w:pStyle w:val="Heading2"/>
      </w:pPr>
      <w:r>
        <w:t xml:space="preserve">Abstract</w:t>
      </w:r>
    </w:p>
    <w:p>
      <w:pPr>
        <w:pStyle w:val="FirstParagraph"/>
      </w:pPr>
      <w:r>
        <w:t xml:space="preserve">This research proposal outlines a critical investigation into the multifaceted role of the</w:t>
      </w:r>
      <w:r>
        <w:t xml:space="preserve"> </w:t>
      </w:r>
      <w:r>
        <w:rPr>
          <w:iCs/>
          <w:i/>
        </w:rPr>
        <w:t xml:space="preserve">Banker</w:t>
      </w:r>
      <w:r>
        <w:t xml:space="preserve"> </w:t>
      </w:r>
      <w:r>
        <w:t xml:space="preserve">within Iran's dynamic financial landscape, with specific focus on Tehran as the nation's primary economic and banking hub. Amidst evolving regulatory frameworks, technological disruptions, and unique geopolitical constraints, this study seeks to analyze how Iranian bankers in Tehran adapt their professional functions to navigate complex market conditions. The research aims to produce actionable insights for banking institutions, policymakers, and educational bodies to enhance the efficacy of</w:t>
      </w:r>
      <w:r>
        <w:t xml:space="preserve"> </w:t>
      </w:r>
      <w:r>
        <w:rPr>
          <w:iCs/>
          <w:i/>
        </w:rPr>
        <w:t xml:space="preserve">Banker</w:t>
      </w:r>
      <w:r>
        <w:t xml:space="preserve"> </w:t>
      </w:r>
      <w:r>
        <w:t xml:space="preserve">roles in driving sustainable financial inclusion and economic resilience within Iran's context.</w:t>
      </w:r>
    </w:p>
    <w:bookmarkEnd w:id="20"/>
    <w:bookmarkStart w:id="21" w:name="X433c99e630359ba26364bb071ecc1ec73e45bd8"/>
    <w:p>
      <w:pPr>
        <w:pStyle w:val="Heading2"/>
      </w:pPr>
      <w:r>
        <w:t xml:space="preserve">1. Introduction: Contextualizing Banking in Iran Tehran</w:t>
      </w:r>
    </w:p>
    <w:p>
      <w:pPr>
        <w:pStyle w:val="FirstParagraph"/>
      </w:pPr>
      <w:r>
        <w:t xml:space="preserve">Tehran, as the political, commercial, and financial capital of Iran, hosts over 50% of the country's banking infrastructure. With a population exceeding 9 million and a robust network of both public and private banks (including prominent institutions like Bank Melli Iran and Mellat Bank), Tehran serves as the epicenter for financial innovation in the Islamic Republic. However, Iranian banks operate within a unique ecosystem shaped by international sanctions, domestic regulatory shifts toward Islamic finance principles, digital transformation mandates from the Central Bank of Iran (CBI), and intense pressure to support local SMEs amid inflationary challenges. This environment necessitates a profound redefinition of the</w:t>
      </w:r>
      <w:r>
        <w:t xml:space="preserve"> </w:t>
      </w:r>
      <w:r>
        <w:rPr>
          <w:iCs/>
          <w:i/>
        </w:rPr>
        <w:t xml:space="preserve">Banker</w:t>
      </w:r>
      <w:r>
        <w:t xml:space="preserve">'s traditional responsibilities. The role transcends mere transactional oversight; it now demands strategic agility in compliance, fintech integration, risk management under sanctions, and culturally nuanced client engagement within Iran's distinct socio-economic fabric.</w:t>
      </w:r>
    </w:p>
    <w:bookmarkEnd w:id="21"/>
    <w:bookmarkStart w:id="22" w:name="X9699dc805921068b026e3ae093a27e379724a59"/>
    <w:p>
      <w:pPr>
        <w:pStyle w:val="Heading2"/>
      </w:pPr>
      <w:r>
        <w:t xml:space="preserve">2. Problem Statement: Critical Gaps in the Current Understanding of the Iranian Banker</w:t>
      </w:r>
    </w:p>
    <w:p>
      <w:pPr>
        <w:pStyle w:val="FirstParagraph"/>
      </w:pPr>
      <w:r>
        <w:t xml:space="preserve">Despite Tehran's prominence as a financial hub, there is a significant dearth of empirical research specifically examining how</w:t>
      </w:r>
      <w:r>
        <w:t xml:space="preserve"> </w:t>
      </w:r>
      <w:r>
        <w:rPr>
          <w:iCs/>
          <w:i/>
        </w:rPr>
        <w:t xml:space="preserve">Banker</w:t>
      </w:r>
      <w:r>
        <w:t xml:space="preserve">s navigate Iran's unique operational constraints. Existing literature largely focuses on Western banking models or generic Islamic finance frameworks, failing to address: (a) the acute impact of sanctions on core banker functions like international remittances and trade financing; (b) the practical challenges faced by bankers in implementing CBI's digital banking strategy within Tehran's urban financial corridors; (c) evolving skill requirements for</w:t>
      </w:r>
      <w:r>
        <w:t xml:space="preserve"> </w:t>
      </w:r>
      <w:r>
        <w:rPr>
          <w:iCs/>
          <w:i/>
        </w:rPr>
        <w:t xml:space="preserve">Banker</w:t>
      </w:r>
      <w:r>
        <w:t xml:space="preserve">s to serve diverse client segments—from micro-entrepreneurs to sanctioned corporate entities—in a high-inflation environment. This gap impedes targeted professional development, optimal resource allocation by banks, and evidence-based policy formulation essential for Iran's financial sector stability. Understanding the modern Iranian</w:t>
      </w:r>
      <w:r>
        <w:t xml:space="preserve"> </w:t>
      </w:r>
      <w:r>
        <w:rPr>
          <w:iCs/>
          <w:i/>
        </w:rPr>
        <w:t xml:space="preserve">Banker</w:t>
      </w:r>
      <w:r>
        <w:t xml:space="preserve"> </w:t>
      </w:r>
      <w:r>
        <w:t xml:space="preserve">is not merely academic; it is a strategic imperative for economic continuity in Tehran.</w:t>
      </w:r>
    </w:p>
    <w:bookmarkEnd w:id="22"/>
    <w:bookmarkStart w:id="23" w:name="research-objectives"/>
    <w:p>
      <w:pPr>
        <w:pStyle w:val="Heading2"/>
      </w:pPr>
      <w:r>
        <w:t xml:space="preserve">3. Research Objectives</w:t>
      </w:r>
    </w:p>
    <w:p>
      <w:pPr>
        <w:pStyle w:val="FirstParagraph"/>
      </w:pPr>
      <w:r>
        <w:t xml:space="preserve">This study aims to: (1) Map the evolving professional competencies required of a</w:t>
      </w:r>
      <w:r>
        <w:t xml:space="preserve"> </w:t>
      </w:r>
      <w:r>
        <w:rPr>
          <w:iCs/>
          <w:i/>
        </w:rPr>
        <w:t xml:space="preserve">Banker</w:t>
      </w:r>
      <w:r>
        <w:t xml:space="preserve"> </w:t>
      </w:r>
      <w:r>
        <w:t xml:space="preserve">operating within Tehran's banking sector under current sanctions and regulatory pressures; (2) Analyze the impact of digital banking adoption (e.g., mobile platforms, blockchain-based trade finance) on frontline</w:t>
      </w:r>
      <w:r>
        <w:t xml:space="preserve"> </w:t>
      </w:r>
      <w:r>
        <w:rPr>
          <w:iCs/>
          <w:i/>
        </w:rPr>
        <w:t xml:space="preserve">Banker</w:t>
      </w:r>
      <w:r>
        <w:t xml:space="preserve"> </w:t>
      </w:r>
      <w:r>
        <w:t xml:space="preserve">workflows in Tehran; (3) Identify systemic barriers faced by</w:t>
      </w:r>
      <w:r>
        <w:t xml:space="preserve"> </w:t>
      </w:r>
      <w:r>
        <w:rPr>
          <w:iCs/>
          <w:i/>
        </w:rPr>
        <w:t xml:space="preserve">Banker</w:t>
      </w:r>
      <w:r>
        <w:t xml:space="preserve">s in delivering inclusive financial services to underserved communities across Tehran's diverse districts; and (4) Propose a localized competency framework for the Iranian</w:t>
      </w:r>
      <w:r>
        <w:t xml:space="preserve"> </w:t>
      </w:r>
      <w:r>
        <w:rPr>
          <w:iCs/>
          <w:i/>
        </w:rPr>
        <w:t xml:space="preserve">Banker</w:t>
      </w:r>
      <w:r>
        <w:t xml:space="preserve">, tailored to Tehran's specific market dynamics, to enhance institutional performance and client satisfaction.</w:t>
      </w:r>
    </w:p>
    <w:bookmarkEnd w:id="23"/>
    <w:bookmarkStart w:id="24" w:name="Xebec2889e63aa4e9cf3d0ee7e9f3b5db464f8aa"/>
    <w:p>
      <w:pPr>
        <w:pStyle w:val="Heading2"/>
      </w:pPr>
      <w:r>
        <w:t xml:space="preserve">4. Methodology: A Mixed-Methods Approach for Iran-Tehran Context</w:t>
      </w:r>
    </w:p>
    <w:p>
      <w:pPr>
        <w:pStyle w:val="FirstParagraph"/>
      </w:pPr>
      <w:r>
        <w:t xml:space="preserve">The research employs a sequential mixed-methods design, ensuring rigor within Iran's specific context. Phase 1 involves a comprehensive quantitative survey distributed to 350+ licensed bankers across Tehran-based branches of major Iranian banks (public and private), utilizing structured questionnaires assessing daily responsibilities, skill utilization, perceived challenges (e.g., sanctions impact), and technology adoption rates. Phase 2 comprises in-depth qualitative interviews with 30+ senior bankers, risk managers, and CBI officials in Tehran to explore nuanced operational dilemmas. Crucially, this phase includes contextualized focus groups with banker representatives from Tehran's key financial zones (e.g., Enghelab Square, Tajrish). All data collection adheres strictly to Iranian ethical research protocols and local regulatory approvals. Analysis will utilize thematic coding for qualitative data and regression modeling for survey results, specifically controlling for variables like bank type (public/private), location within Tehran, and tenure of the</w:t>
      </w:r>
      <w:r>
        <w:t xml:space="preserve"> </w:t>
      </w:r>
      <w:r>
        <w:rPr>
          <w:iCs/>
          <w:i/>
        </w:rPr>
        <w:t xml:space="preserve">Banker</w:t>
      </w:r>
      <w:r>
        <w:t xml:space="preserve">.</w:t>
      </w:r>
    </w:p>
    <w:bookmarkEnd w:id="24"/>
    <w:bookmarkStart w:id="25" w:name="X01f45f974ce796d0e86305b8c9a9b5f05a870eb"/>
    <w:p>
      <w:pPr>
        <w:pStyle w:val="Heading2"/>
      </w:pPr>
      <w:r>
        <w:t xml:space="preserve">5. Expected Contribution: Advancing the Iranian Banker Role in Tehran</w:t>
      </w:r>
    </w:p>
    <w:p>
      <w:pPr>
        <w:pStyle w:val="FirstParagraph"/>
      </w:pPr>
      <w:r>
        <w:t xml:space="preserve">This research promises significant practical contributions. For banks in Iran Tehran, findings will directly inform targeted training programs addressing emergent skill gaps (e.g., sanctions-compliant trade finance, digital client onboarding). Policymakers at the Central Bank of Iran can leverage insights to refine regulatory sandboxes for fintech integration within Tehran's banking corridors. Educational institutions (e.g., Tehran University of Economics, Alzahra University) will gain a foundation for updating curricula to better prepare future</w:t>
      </w:r>
      <w:r>
        <w:t xml:space="preserve"> </w:t>
      </w:r>
      <w:r>
        <w:rPr>
          <w:iCs/>
          <w:i/>
        </w:rPr>
        <w:t xml:space="preserve">Banker</w:t>
      </w:r>
      <w:r>
        <w:t xml:space="preserve">s for Iran's complex market realities. Crucially, the proposed competency framework will offer a standardized, locally relevant model – distinct from Western or generic Islamic finance models – that explicitly acknowledges Tehran's unique urban economic challenges and cultural client expectations. This is vital for elevating the professionalism and strategic value of the</w:t>
      </w:r>
      <w:r>
        <w:t xml:space="preserve"> </w:t>
      </w:r>
      <w:r>
        <w:rPr>
          <w:iCs/>
          <w:i/>
        </w:rPr>
        <w:t xml:space="preserve">Banker</w:t>
      </w:r>
      <w:r>
        <w:t xml:space="preserve"> </w:t>
      </w:r>
      <w:r>
        <w:t xml:space="preserve">role within Iran's critical financial ecosystem.</w:t>
      </w:r>
    </w:p>
    <w:bookmarkEnd w:id="25"/>
    <w:bookmarkStart w:id="26" w:name="X1c568f4ca1d54ad174c700aa0f3802bceeedd30"/>
    <w:p>
      <w:pPr>
        <w:pStyle w:val="Heading2"/>
      </w:pPr>
      <w:r>
        <w:t xml:space="preserve">6. Significance: Why This Research Matters Now in Iran Tehran</w:t>
      </w:r>
    </w:p>
    <w:p>
      <w:pPr>
        <w:pStyle w:val="FirstParagraph"/>
      </w:pPr>
      <w:r>
        <w:t xml:space="preserve">The timing of this research is paramount. Tehran's banking sector faces unprecedented pressure to innovate while maintaining stability under sanctions, driving rapid digitalization (e.g., the CBI’s "Digital Banking Roadmap 2030"), and grappling with high inflation eroding customer trust. The</w:t>
      </w:r>
      <w:r>
        <w:t xml:space="preserve"> </w:t>
      </w:r>
      <w:r>
        <w:rPr>
          <w:iCs/>
          <w:i/>
        </w:rPr>
        <w:t xml:space="preserve">Banker</w:t>
      </w:r>
      <w:r>
        <w:t xml:space="preserve">, as the critical human interface between institution and client, is central to navigating these challenges. Without evidence-based understanding of their evolving role, banks risk misallocating resources on irrelevant training or failing to support bankers in managing complex ethical and operational dilemmas unique to Iran's environment. This study directly addresses this urgency by generating context-specific knowledge designed for immediate application within Tehran's banking institutions. It moves beyond theoretical discourse to deliver actionable intelligence that can bolster financial resilience, foster innovation, and ultimately strengthen Iran's economic fabric from its capital city downward.</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Banker</w:t>
      </w:r>
      <w:r>
        <w:t xml:space="preserve"> </w:t>
      </w:r>
      <w:r>
        <w:t xml:space="preserve">in Iran Tehran is undergoing a transformative shift, demanding sophisticated adaptation far beyond traditional banking duties. This research proposal outlines a necessary investigation into this evolution, grounded firmly within Iran's specific regulatory landscape and Tehran's vibrant yet constrained financial market. By centering the experiences and challenges of the Iranian</w:t>
      </w:r>
      <w:r>
        <w:t xml:space="preserve"> </w:t>
      </w:r>
      <w:r>
        <w:rPr>
          <w:iCs/>
          <w:i/>
        </w:rPr>
        <w:t xml:space="preserve">Banker</w:t>
      </w:r>
      <w:r>
        <w:t xml:space="preserve">, this study promises to generate valuable knowledge that can empower banks, guide policymakers, and ultimately contribute to a more resilient and responsive banking sector in Tehran – the engine room of Iran's economy. Understanding this pivotal professional role is not just about banking; it's fundamental to Iran's financial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Iran's Tehran Banking Sector</dc:title>
  <dc:creator/>
  <dc:language>en</dc:language>
  <cp:keywords/>
  <dcterms:created xsi:type="dcterms:W3CDTF">2025-12-09T12:04:05Z</dcterms:created>
  <dcterms:modified xsi:type="dcterms:W3CDTF">2025-12-09T12:04:05Z</dcterms:modified>
</cp:coreProperties>
</file>

<file path=docProps/custom.xml><?xml version="1.0" encoding="utf-8"?>
<Properties xmlns="http://schemas.openxmlformats.org/officeDocument/2006/custom-properties" xmlns:vt="http://schemas.openxmlformats.org/officeDocument/2006/docPropsVTypes"/>
</file>