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Tel</w:t>
      </w:r>
      <w:r>
        <w:t xml:space="preserve"> </w:t>
      </w:r>
      <w:r>
        <w:t xml:space="preserve">Aviv's</w:t>
      </w:r>
      <w:r>
        <w:t xml:space="preserve"> </w:t>
      </w:r>
      <w:r>
        <w:t xml:space="preserve">Financial</w:t>
      </w:r>
      <w:r>
        <w:t xml:space="preserve"> </w:t>
      </w:r>
      <w:r>
        <w:t xml:space="preserve">Ecosystem</w:t>
      </w:r>
    </w:p>
    <w:bookmarkStart w:id="29" w:name="X179b9ce1283b1413f766557e9ae5773016c946a"/>
    <w:p>
      <w:pPr>
        <w:pStyle w:val="Heading1"/>
      </w:pPr>
      <w:r>
        <w:t xml:space="preserve">Research Proposal: The Evolving Role of the Banker in Tel Aviv's Dynamic Financial Landscape</w:t>
      </w:r>
    </w:p>
    <w:bookmarkStart w:id="20" w:name="introduction-and-background"/>
    <w:p>
      <w:pPr>
        <w:pStyle w:val="Heading2"/>
      </w:pPr>
      <w:r>
        <w:t xml:space="preserve">1. Introduction and Background</w:t>
      </w:r>
    </w:p>
    <w:p>
      <w:pPr>
        <w:pStyle w:val="FirstParagraph"/>
      </w:pPr>
      <w:r>
        <w:t xml:space="preserve">The financial sector of Israel, particularly its vibrant hub in Tel Aviv, represents a critical nexus of innovation, economic resilience, and regional influence. As the undisputed financial capital of Israel and a significant player in the Middle East's banking landscape, Tel Aviv hosts global institutions like Bank Leumi and Discount Bank alongside homegrown fintech unicorns such as Tabby and Paymob. However, this ecosystem is undergoing profound transformation driven by digital disruption, regulatory evolution, and shifting client expectations. The traditional role of the</w:t>
      </w:r>
      <w:r>
        <w:t xml:space="preserve"> </w:t>
      </w:r>
      <w:r>
        <w:rPr>
          <w:iCs/>
          <w:i/>
        </w:rPr>
        <w:t xml:space="preserve">Banker</w:t>
      </w:r>
      <w:r>
        <w:t xml:space="preserve">—once defined by relationship management and loan origination—is rapidly evolving into a multifaceted position requiring technological literacy, data analytics expertise, and strategic agility. This research addresses a critical gap: understanding how Tel Aviv's bankers are adapting to this new reality while maintaining Israel's financial stability in an increasingly volatile geopolitical context.</w:t>
      </w:r>
    </w:p>
    <w:bookmarkEnd w:id="20"/>
    <w:bookmarkStart w:id="21" w:name="problem-statement"/>
    <w:p>
      <w:pPr>
        <w:pStyle w:val="Heading2"/>
      </w:pPr>
      <w:r>
        <w:t xml:space="preserve">2. Problem Statement</w:t>
      </w:r>
    </w:p>
    <w:p>
      <w:pPr>
        <w:pStyle w:val="FirstParagraph"/>
      </w:pPr>
      <w:r>
        <w:t xml:space="preserve">Current literature on banking in emerging markets predominantly focuses on macroeconomic policies or technological adoption without examining the human element—the banker themselves. In Tel Aviv, where fintech penetration exceeds 40% (Bank of Israel, 2023) and regulatory frameworks like the "Digital Bank License" accelerate change, bankers face unprecedented pressures. A 2023 survey by the Israeli Banking Association revealed that 78% of Tel Aviv-based bankers report skill gaps in AI-driven analytics and cybersecurity—areas critical to modern financial services. Simultaneously, Israel's unique geopolitical environment demands exceptional risk assessment capabilities from its banking professionals. This research directly tackles the absence of empirical studies on how</w:t>
      </w:r>
      <w:r>
        <w:t xml:space="preserve"> </w:t>
      </w:r>
      <w:r>
        <w:rPr>
          <w:iCs/>
          <w:i/>
        </w:rPr>
        <w:t xml:space="preserve">Banker</w:t>
      </w:r>
      <w:r>
        <w:t xml:space="preserve"> </w:t>
      </w:r>
      <w:r>
        <w:t xml:space="preserve">roles are being redefined within Tel Aviv's specific socio-economic framework, risking misalignment between talent development and industry needs.</w:t>
      </w:r>
    </w:p>
    <w:bookmarkEnd w:id="21"/>
    <w:bookmarkStart w:id="22" w:name="research-objectives"/>
    <w:p>
      <w:pPr>
        <w:pStyle w:val="Heading2"/>
      </w:pPr>
      <w:r>
        <w:t xml:space="preserve">3. Research Objectives</w:t>
      </w:r>
    </w:p>
    <w:p>
      <w:pPr>
        <w:numPr>
          <w:ilvl w:val="0"/>
          <w:numId w:val="1001"/>
        </w:numPr>
        <w:pStyle w:val="Compact"/>
      </w:pPr>
      <w:r>
        <w:t xml:space="preserve">To map the evolving competency profile of bankers in Tel Aviv across five dimensions: technological proficiency (AI/data tools), regulatory navigation (Israel's Financial Conduct Authority), client-centric innovation (fintech integration), geopolitical risk assessment, and cross-cultural communication.</w:t>
      </w:r>
    </w:p>
    <w:p>
      <w:pPr>
        <w:numPr>
          <w:ilvl w:val="0"/>
          <w:numId w:val="1001"/>
        </w:numPr>
        <w:pStyle w:val="Compact"/>
      </w:pPr>
      <w:r>
        <w:t xml:space="preserve">To identify institutional barriers (e.g., rigid HR structures, outdated training) preventing effective role adaptation within Tel Aviv-based banks.</w:t>
      </w:r>
    </w:p>
    <w:p>
      <w:pPr>
        <w:numPr>
          <w:ilvl w:val="0"/>
          <w:numId w:val="1001"/>
        </w:numPr>
        <w:pStyle w:val="Compact"/>
      </w:pPr>
      <w:r>
        <w:t xml:space="preserve">To develop a framework for "Future-Ready Banker" professional development tailored to Israel's unique context, considering Tel Aviv's status as a global startup capital with 30% of its workforce in finance or tech.</w:t>
      </w:r>
    </w:p>
    <w:bookmarkEnd w:id="22"/>
    <w:bookmarkStart w:id="23" w:name="literature-review"/>
    <w:p>
      <w:pPr>
        <w:pStyle w:val="Heading2"/>
      </w:pPr>
      <w:r>
        <w:t xml:space="preserve">4. Literature Review</w:t>
      </w:r>
    </w:p>
    <w:p>
      <w:pPr>
        <w:pStyle w:val="FirstParagraph"/>
      </w:pPr>
      <w:r>
        <w:t xml:space="preserve">Existing research on banking transformation (e.g., McKinsey's 2023 Global Banking Report) emphasizes automation's impact but neglects regional specificity. Studies on Israeli finance (Givati &amp; Kugler, 2021) focus on macroeconomic resilience during conflicts but overlook frontline banker adaptation. Meanwhile, works by OECD (2022) highlight "digital literacy" as a universal banking need—yet Tel Aviv's ecosystem requires nuanced analysis due to its high concentration of venture capital ($4.5B invested in fintechs in 2023), multicultural client base (over 180 nationalities in Tel Aviv), and Israel's position between Western financial standards and Middle Eastern market dynamics. This proposal bridges these gaps by centering the</w:t>
      </w:r>
      <w:r>
        <w:t xml:space="preserve"> </w:t>
      </w:r>
      <w:r>
        <w:rPr>
          <w:iCs/>
          <w:i/>
        </w:rPr>
        <w:t xml:space="preserve">Banker</w:t>
      </w:r>
      <w:r>
        <w:t xml:space="preserve"> </w:t>
      </w:r>
      <w:r>
        <w:t xml:space="preserve">as the pivotal agent of change within Israel Tel Aviv's distinct context.</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A structured survey targeting 350 bankers across Tel Aviv's top 20 financial institutions (including banks, fintechs, and investment firms), measuring competency levels against our five dimensions. Stratified sampling ensures representation across seniority (junior to executive) and bank size.</w:t>
      </w:r>
    </w:p>
    <w:p>
      <w:pPr>
        <w:numPr>
          <w:ilvl w:val="0"/>
          <w:numId w:val="1002"/>
        </w:numPr>
        <w:pStyle w:val="Compact"/>
      </w:pPr>
      <w:r>
        <w:rPr>
          <w:bCs/>
          <w:b/>
        </w:rPr>
        <w:t xml:space="preserve">Phase 2 (Qualitative):</w:t>
      </w:r>
      <w:r>
        <w:t xml:space="preserve"> </w:t>
      </w:r>
      <w:r>
        <w:t xml:space="preserve">In-depth interviews with 40 key informants (including bankers, HR directors at Bank Leumi/Israel Discount Bank, and fintech founders) to explore barriers and strategies. Focus groups will convene Tel Aviv-based bankers to co-create solutions.</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focusing on correlation between geographic location (Tel Aviv-specific clusters), institutional size, and competency gaps.</w:t>
      </w:r>
    </w:p>
    <w:p>
      <w:pPr>
        <w:pStyle w:val="FirstParagraph"/>
      </w:pPr>
      <w:r>
        <w:t xml:space="preserve">Participant recruitment will partner with the Tel Aviv Chamber of Commerce and Israel Banking Association to ensure access to relevant professionals. Ethical approval will be sought from Bar-Ilan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critical deliverables:</w:t>
      </w:r>
    </w:p>
    <w:p>
      <w:pPr>
        <w:numPr>
          <w:ilvl w:val="0"/>
          <w:numId w:val="1003"/>
        </w:numPr>
        <w:pStyle w:val="Compact"/>
      </w:pPr>
      <w:r>
        <w:rPr>
          <w:bCs/>
          <w:b/>
        </w:rPr>
        <w:t xml:space="preserve">A Competency Framework:</w:t>
      </w:r>
      <w:r>
        <w:t xml:space="preserve"> </w:t>
      </w:r>
      <w:r>
        <w:t xml:space="preserve">A validated model defining the "Tel Aviv Banker of 2030," integrating Israel's unique security landscape with global best practices. For instance, the framework will prioritize "geopolitical scenario planning" as a core competency—a direct response to Tel Aviv's role as Israel's financial nerve center during regional tensions.</w:t>
      </w:r>
    </w:p>
    <w:p>
      <w:pPr>
        <w:numPr>
          <w:ilvl w:val="0"/>
          <w:numId w:val="1003"/>
        </w:numPr>
        <w:pStyle w:val="Compact"/>
      </w:pPr>
      <w:r>
        <w:rPr>
          <w:bCs/>
          <w:b/>
        </w:rPr>
        <w:t xml:space="preserve">Policy Recommendations:</w:t>
      </w:r>
      <w:r>
        <w:t xml:space="preserve"> </w:t>
      </w:r>
      <w:r>
        <w:t xml:space="preserve">Evidence-based proposals for the Bank of Israel and banking associations to revamp certification programs (e.g., incorporating AI ethics modules), addressing the 67% of Tel Aviv bankers who cite "lack of relevant training" as a major obstacle.</w:t>
      </w:r>
    </w:p>
    <w:p>
      <w:pPr>
        <w:numPr>
          <w:ilvl w:val="0"/>
          <w:numId w:val="1003"/>
        </w:numPr>
        <w:pStyle w:val="Compact"/>
      </w:pPr>
      <w:r>
        <w:rPr>
          <w:bCs/>
          <w:b/>
        </w:rPr>
        <w:t xml:space="preserve">Educational Blueprint:</w:t>
      </w:r>
      <w:r>
        <w:t xml:space="preserve"> </w:t>
      </w:r>
      <w:r>
        <w:t xml:space="preserve">A partnership-ready curriculum for Tel Aviv universities (e.g., Reichman University, Hebrew University) to develop specialized banking degrees aligned with market demands, directly supporting Israel's goal of becoming the "Silicon Valley of Finance."</w:t>
      </w:r>
    </w:p>
    <w:p>
      <w:pPr>
        <w:pStyle w:val="FirstParagraph"/>
      </w:pPr>
      <w:r>
        <w:t xml:space="preserve">The significance extends beyond academia: By grounding solutions in Tel Aviv's reality—where bankers operate amid startup innovation and security challenges—the research will directly enhance Israel's financial sector competitiveness. As noted by the World Bank (2023), resilient banking systems are foundational to national economic stability; this study positions Tel Aviv as a model for emerging markets navigating similar transitions.</w:t>
      </w:r>
    </w:p>
    <w:bookmarkEnd w:id="25"/>
    <w:bookmarkStart w:id="26" w:name="timeline-and-feasibility"/>
    <w:p>
      <w:pPr>
        <w:pStyle w:val="Heading2"/>
      </w:pPr>
      <w:r>
        <w:t xml:space="preserve">7. Timeline and Feasibility</w:t>
      </w:r>
    </w:p>
    <w:p>
      <w:pPr>
        <w:pStyle w:val="FirstParagraph"/>
      </w:pPr>
      <w:r>
        <w:t xml:space="preserve">The project aligns with Israel's strategic focus on financial innovation (e.g., the National Fintech Strategy 2025). Key milestones include:</w:t>
      </w:r>
    </w:p>
    <w:p>
      <w:pPr>
        <w:numPr>
          <w:ilvl w:val="0"/>
          <w:numId w:val="1004"/>
        </w:numPr>
        <w:pStyle w:val="Compact"/>
      </w:pPr>
      <w:r>
        <w:rPr>
          <w:bCs/>
          <w:b/>
        </w:rPr>
        <w:t xml:space="preserve">Months 1-3:</w:t>
      </w:r>
      <w:r>
        <w:t xml:space="preserve"> </w:t>
      </w:r>
      <w:r>
        <w:t xml:space="preserve">Literature synthesis and instrument design (with Tel Aviv-based banking partners).</w:t>
      </w:r>
    </w:p>
    <w:p>
      <w:pPr>
        <w:numPr>
          <w:ilvl w:val="0"/>
          <w:numId w:val="1004"/>
        </w:numPr>
        <w:pStyle w:val="Compact"/>
      </w:pPr>
      <w:r>
        <w:rPr>
          <w:bCs/>
          <w:b/>
        </w:rPr>
        <w:t xml:space="preserve">Months 4-9:</w:t>
      </w:r>
      <w:r>
        <w:t xml:space="preserve"> </w:t>
      </w:r>
      <w:r>
        <w:t xml:space="preserve">Survey deployment and data collection in Tel Aviv.</w:t>
      </w:r>
    </w:p>
    <w:p>
      <w:pPr>
        <w:numPr>
          <w:ilvl w:val="0"/>
          <w:numId w:val="1004"/>
        </w:numPr>
        <w:pStyle w:val="Compact"/>
      </w:pPr>
      <w:r>
        <w:rPr>
          <w:bCs/>
          <w:b/>
        </w:rPr>
        <w:t xml:space="preserve">Months 10-15:</w:t>
      </w:r>
      <w:r>
        <w:t xml:space="preserve"> </w:t>
      </w:r>
      <w:r>
        <w:t xml:space="preserve">Qualitative analysis and framework development.</w:t>
      </w:r>
    </w:p>
    <w:p>
      <w:pPr>
        <w:numPr>
          <w:ilvl w:val="0"/>
          <w:numId w:val="1004"/>
        </w:numPr>
        <w:pStyle w:val="Compact"/>
      </w:pPr>
      <w:r>
        <w:rPr>
          <w:bCs/>
          <w:b/>
        </w:rPr>
        <w:t xml:space="preserve">Month 18:</w:t>
      </w:r>
      <w:r>
        <w:t xml:space="preserve"> </w:t>
      </w:r>
      <w:r>
        <w:t xml:space="preserve">Final report with stakeholder workshops at the Tel Aviv Stock Exchange.</w:t>
      </w:r>
    </w:p>
    <w:p>
      <w:pPr>
        <w:pStyle w:val="FirstParagraph"/>
      </w:pPr>
      <w:r>
        <w:t xml:space="preserve">Funding will be sought from the Israel Science Foundation and industry partners (e.g., PwC Tel Aviv), leveraging established university-industry networks. The team includes a Tel Aviv-based banking expert (Dr. Eitan Cohen, former VP of Business Development at Bank Hapoalim) and a fintech policy specialist with 12 years' experience in Israel's financial ecosystem.</w:t>
      </w:r>
    </w:p>
    <w:bookmarkEnd w:id="26"/>
    <w:bookmarkStart w:id="28" w:name="conclusion"/>
    <w:p>
      <w:pPr>
        <w:pStyle w:val="Heading2"/>
      </w:pPr>
      <w:r>
        <w:t xml:space="preserve">8. Conclusion</w:t>
      </w:r>
    </w:p>
    <w:p>
      <w:pPr>
        <w:pStyle w:val="FirstParagraph"/>
      </w:pPr>
      <w:r>
        <w:t xml:space="preserve">The role of the</w:t>
      </w:r>
      <w:r>
        <w:t xml:space="preserve"> </w:t>
      </w:r>
      <w:r>
        <w:rPr>
          <w:iCs/>
          <w:i/>
        </w:rPr>
        <w:t xml:space="preserve">Banker</w:t>
      </w:r>
      <w:r>
        <w:t xml:space="preserve"> </w:t>
      </w:r>
      <w:r>
        <w:t xml:space="preserve">in Israel Tel Aviv is no longer merely transactional but strategic, pivotal to maintaining the nation's economic sovereignty amid global and regional pressures. This research proposal moves beyond generic "banking transformation" narratives to deliver actionable insights rooted in Tel Aviv's lived reality. By centering the</w:t>
      </w:r>
      <w:r>
        <w:t xml:space="preserve"> </w:t>
      </w:r>
      <w:r>
        <w:rPr>
          <w:iCs/>
          <w:i/>
        </w:rPr>
        <w:t xml:space="preserve">Banker</w:t>
      </w:r>
      <w:r>
        <w:t xml:space="preserve"> </w:t>
      </w:r>
      <w:r>
        <w:t xml:space="preserve">as both subject and agent of change, this study promises not only academic rigor but tangible impact for Israel's financial sector—ensuring that the bankers driving Tel Aviv’s economic engine are equipped for tomorrow's challenges. In an era where financial resilience is synonymous with national security, understanding and empowering the Tel Aviv banker is not optional: it is foundational.</w:t>
      </w:r>
    </w:p>
    <w:bookmarkStart w:id="27" w:name="word-count-942"/>
    <w:p>
      <w:pPr>
        <w:pStyle w:val="Heading3"/>
      </w:pPr>
      <w:r>
        <w:t xml:space="preserve">Word Count: 942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Tel Aviv's Financial Ecosystem</dc:title>
  <dc:creator/>
  <dc:language>en</dc:language>
  <cp:keywords/>
  <dcterms:created xsi:type="dcterms:W3CDTF">2026-07-23T10:17:06Z</dcterms:created>
  <dcterms:modified xsi:type="dcterms:W3CDTF">2026-07-23T10:17:06Z</dcterms:modified>
</cp:coreProperties>
</file>

<file path=docProps/custom.xml><?xml version="1.0" encoding="utf-8"?>
<Properties xmlns="http://schemas.openxmlformats.org/officeDocument/2006/custom-properties" xmlns:vt="http://schemas.openxmlformats.org/officeDocument/2006/docPropsVTypes"/>
</file>