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Italy</w:t>
      </w:r>
      <w:r>
        <w:t xml:space="preserve"> </w:t>
      </w:r>
      <w:r>
        <w:t xml:space="preserve">Milan</w:t>
      </w:r>
    </w:p>
    <w:bookmarkStart w:id="28" w:name="Xe85ad14a0cb8c8081e1a7bb1ad225dd99339df0"/>
    <w:p>
      <w:pPr>
        <w:pStyle w:val="Heading1"/>
      </w:pPr>
      <w:r>
        <w:t xml:space="preserve">Research Proposal: Advancing the Role of the Modern Banker in Italy Milan</w:t>
      </w:r>
    </w:p>
    <w:bookmarkStart w:id="20" w:name="introduction-and-background"/>
    <w:p>
      <w:pPr>
        <w:pStyle w:val="Heading2"/>
      </w:pPr>
      <w:r>
        <w:t xml:space="preserve">1. Introduction and Background</w:t>
      </w:r>
    </w:p>
    <w:p>
      <w:pPr>
        <w:pStyle w:val="FirstParagraph"/>
      </w:pPr>
      <w:r>
        <w:t xml:space="preserve">The financial landscape of Italy Milan represents a pivotal nexus within Europe's economic ecosystem, hosting headquarters for major Italian banks such as Intesa Sanpaolo, Unicredit, and Mediobanca. As the undisputed financial capital of Italy, Milan's banking sector accounts for over 35% of the nation's total banking assets and serves as a critical hub for multinational institutions operating across Southern Europe. This Research Proposal addresses the urgent need to redefine the professional identity and operational capabilities of the modern</w:t>
      </w:r>
      <w:r>
        <w:t xml:space="preserve"> </w:t>
      </w:r>
      <w:r>
        <w:rPr>
          <w:bCs/>
          <w:b/>
        </w:rPr>
        <w:t xml:space="preserve">Banker</w:t>
      </w:r>
      <w:r>
        <w:t xml:space="preserve"> </w:t>
      </w:r>
      <w:r>
        <w:t xml:space="preserve">within this dynamic context. Traditional banking paradigms in</w:t>
      </w:r>
      <w:r>
        <w:t xml:space="preserve"> </w:t>
      </w:r>
      <w:r>
        <w:rPr>
          <w:bCs/>
          <w:b/>
        </w:rPr>
        <w:t xml:space="preserve">Italy Milan</w:t>
      </w:r>
      <w:r>
        <w:t xml:space="preserve"> </w:t>
      </w:r>
      <w:r>
        <w:t xml:space="preserve">are undergoing unprecedented transformation due to digital disruption, evolving regulatory frameworks (including EU's PSD3 and Italy's Banca d'Italia directives), and shifting client expectations toward personalized, technology-driven financial services. This research will investigate how the</w:t>
      </w:r>
      <w:r>
        <w:t xml:space="preserve"> </w:t>
      </w:r>
      <w:r>
        <w:rPr>
          <w:bCs/>
          <w:b/>
        </w:rPr>
        <w:t xml:space="preserve">Banker</w:t>
      </w:r>
      <w:r>
        <w:t xml:space="preserve"> </w:t>
      </w:r>
      <w:r>
        <w:t xml:space="preserve">can transition from transactional intermediaries to strategic relationship architects in Milan's competitive market.</w:t>
      </w:r>
    </w:p>
    <w:bookmarkEnd w:id="20"/>
    <w:bookmarkStart w:id="21" w:name="problem-statement"/>
    <w:p>
      <w:pPr>
        <w:pStyle w:val="Heading2"/>
      </w:pPr>
      <w:r>
        <w:t xml:space="preserve">2. Problem Statement</w:t>
      </w:r>
    </w:p>
    <w:p>
      <w:pPr>
        <w:pStyle w:val="FirstParagraph"/>
      </w:pPr>
      <w:r>
        <w:t xml:space="preserve">A significant gap exists between current banking practices in Italy Milan and emerging market demands. Despite Milan's status as a financial powerhouse, industry reports indicate that 68% of local bankers struggle to effectively implement digital tools (Source: Associazione Bancaria Italiana, 2023), while client satisfaction metrics for relationship-based services remain stagnant at 57%. The crisis in traditional banking models is particularly acute in Milan where fintech entrants like N26 and Wise have captured 18% of the retail market share since 2020. Crucially, this research identifies a critical deficiency: the absence of a structured framework for modernizing the</w:t>
      </w:r>
      <w:r>
        <w:t xml:space="preserve"> </w:t>
      </w:r>
      <w:r>
        <w:rPr>
          <w:bCs/>
          <w:b/>
        </w:rPr>
        <w:t xml:space="preserve">Banker</w:t>
      </w:r>
      <w:r>
        <w:t xml:space="preserve">'s skillset to address three interrelated challenges—digital literacy gaps, ESG integration complexity, and cross-cultural client management in Milan's diverse economic landscape (spanning luxury goods, manufacturing SMEs, and multinational corporations). Without strategic intervention, Milan's banking sector risks losing its competitive edge to global financial centers like London and Zurich.</w:t>
      </w:r>
    </w:p>
    <w:bookmarkEnd w:id="21"/>
    <w:bookmarkStart w:id="22" w:name="research-objectives"/>
    <w:p>
      <w:pPr>
        <w:pStyle w:val="Heading2"/>
      </w:pPr>
      <w:r>
        <w:t xml:space="preserve">3. Research Objectives</w:t>
      </w:r>
    </w:p>
    <w:p>
      <w:pPr>
        <w:pStyle w:val="FirstParagraph"/>
      </w:pPr>
      <w:r>
        <w:t xml:space="preserve">This study proposes four interconnected objectives:</w:t>
      </w:r>
    </w:p>
    <w:p>
      <w:pPr>
        <w:numPr>
          <w:ilvl w:val="0"/>
          <w:numId w:val="1001"/>
        </w:numPr>
        <w:pStyle w:val="Compact"/>
      </w:pPr>
      <w:r>
        <w:t xml:space="preserve">To develop a comprehensive competency framework for the contemporary</w:t>
      </w:r>
      <w:r>
        <w:t xml:space="preserve"> </w:t>
      </w:r>
      <w:r>
        <w:rPr>
          <w:bCs/>
          <w:b/>
        </w:rPr>
        <w:t xml:space="preserve">Banker</w:t>
      </w:r>
      <w:r>
        <w:t xml:space="preserve"> </w:t>
      </w:r>
      <w:r>
        <w:t xml:space="preserve">in Italy Milan, integrating digital acumen (AI-driven analytics, blockchain applications), ESG compliance expertise, and advanced relationship management.</w:t>
      </w:r>
    </w:p>
    <w:p>
      <w:pPr>
        <w:numPr>
          <w:ilvl w:val="0"/>
          <w:numId w:val="1001"/>
        </w:numPr>
        <w:pStyle w:val="Compact"/>
      </w:pPr>
      <w:r>
        <w:t xml:space="preserve">To analyze regulatory pressures specifically impacting banking operations in Milan (e.g., MiFID II implementation challenges) and their influence on the</w:t>
      </w:r>
      <w:r>
        <w:t xml:space="preserve"> </w:t>
      </w:r>
      <w:r>
        <w:rPr>
          <w:bCs/>
          <w:b/>
        </w:rPr>
        <w:t xml:space="preserve">Banker</w:t>
      </w:r>
      <w:r>
        <w:t xml:space="preserve">'s daily responsibilities.</w:t>
      </w:r>
    </w:p>
    <w:p>
      <w:pPr>
        <w:numPr>
          <w:ilvl w:val="0"/>
          <w:numId w:val="1001"/>
        </w:numPr>
        <w:pStyle w:val="Compact"/>
      </w:pPr>
      <w:r>
        <w:t xml:space="preserve">To evaluate client expectations across Milan's key economic segments (corporate, high-net-worth individuals, SMEs) through granular market analysis.</w:t>
      </w:r>
    </w:p>
    <w:p>
      <w:pPr>
        <w:numPr>
          <w:ilvl w:val="0"/>
          <w:numId w:val="1001"/>
        </w:numPr>
        <w:pStyle w:val="Compact"/>
      </w:pPr>
      <w:r>
        <w:t xml:space="preserve">To propose a scalable training and professional development model tailored for Italian banking institutions in Milan's unique ecosystem.</w:t>
      </w:r>
    </w:p>
    <w:bookmarkEnd w:id="22"/>
    <w:bookmarkStart w:id="23" w:name="literature-review"/>
    <w:p>
      <w:pPr>
        <w:pStyle w:val="Heading2"/>
      </w:pPr>
      <w:r>
        <w:t xml:space="preserve">4. Literature Review</w:t>
      </w:r>
    </w:p>
    <w:p>
      <w:pPr>
        <w:pStyle w:val="FirstParagraph"/>
      </w:pPr>
      <w:r>
        <w:t xml:space="preserve">Existing research on banking evolution primarily focuses on macroeconomic trends (e.g., European Central Bank studies) or technology adoption in isolation. Notable gaps persist: a 2023 study by Bocconi University's Center for Finance identified that 73% of Milan-based banking literature addresses technological tools without analyzing human elements—specifically the</w:t>
      </w:r>
      <w:r>
        <w:t xml:space="preserve"> </w:t>
      </w:r>
      <w:r>
        <w:rPr>
          <w:bCs/>
          <w:b/>
        </w:rPr>
        <w:t xml:space="preserve">Banker</w:t>
      </w:r>
      <w:r>
        <w:t xml:space="preserve">'s role as the critical interface between complex systems and client needs. Similarly, the Banca d'Italia's 2022 report on "Digital Transformation in Italian Banking" emphasized infrastructure changes but overlooked professional adaptation strategies. This research bridges these gaps by centering on Milan-specific contextual factors: its historical position as Italy's financial capital (dating to the 19th century), its status as the EU's fourth-largest financial district, and the cultural nuances of client relationships unique to Lombard business practices. The proposed framework will integrate insights from cross-cultural management theory (Hofstede, 2023) with sector-specific banking research from Milan's academic institutions.</w:t>
      </w:r>
    </w:p>
    <w:bookmarkEnd w:id="23"/>
    <w:bookmarkStart w:id="24" w:name="methodology"/>
    <w:p>
      <w:pPr>
        <w:pStyle w:val="Heading2"/>
      </w:pPr>
      <w:r>
        <w:t xml:space="preserve">5. Methodology</w:t>
      </w:r>
    </w:p>
    <w:p>
      <w:pPr>
        <w:pStyle w:val="FirstParagraph"/>
      </w:pPr>
      <w:r>
        <w:t xml:space="preserve">The study employs a mixed-methods approach designed for Italy Milan's context:</w:t>
      </w:r>
    </w:p>
    <w:p>
      <w:pPr>
        <w:numPr>
          <w:ilvl w:val="0"/>
          <w:numId w:val="1002"/>
        </w:numPr>
        <w:pStyle w:val="Compact"/>
      </w:pPr>
      <w:r>
        <w:rPr>
          <w:bCs/>
          <w:b/>
        </w:rPr>
        <w:t xml:space="preserve">Phase 1: Qualitative Analysis (Months 1-3)</w:t>
      </w:r>
      <w:r>
        <w:t xml:space="preserve">: In-depth interviews with 30 senior bankers across Milan's top institutions (Intesa Sanpaolo, UniCredit, Swiss Bank Corp. Milan) and regulatory representatives from Banca d'Italia's Milan office. Focus groups will explore pain points in client relationship management amid digital transformation.</w:t>
      </w:r>
    </w:p>
    <w:p>
      <w:pPr>
        <w:numPr>
          <w:ilvl w:val="0"/>
          <w:numId w:val="1002"/>
        </w:numPr>
        <w:pStyle w:val="Compact"/>
      </w:pPr>
      <w:r>
        <w:rPr>
          <w:bCs/>
          <w:b/>
        </w:rPr>
        <w:t xml:space="preserve">Phase 2: Quantitative Assessment (Months 4-6)</w:t>
      </w:r>
      <w:r>
        <w:t xml:space="preserve">: Survey of 500 retail and corporate clients across Milan, measuring satisfaction drivers related to banker expertise, responsiveness, and ESG alignment. Statistical analysis will correlate service quality with specific banker competencies.</w:t>
      </w:r>
    </w:p>
    <w:p>
      <w:pPr>
        <w:numPr>
          <w:ilvl w:val="0"/>
          <w:numId w:val="1002"/>
        </w:numPr>
        <w:pStyle w:val="Compact"/>
      </w:pPr>
      <w:r>
        <w:rPr>
          <w:bCs/>
          <w:b/>
        </w:rPr>
        <w:t xml:space="preserve">Phase 3: Scenario Modeling (Months 7-9)</w:t>
      </w:r>
      <w:r>
        <w:t xml:space="preserve">: Development of a "Banker Competency Matrix" using Delphi technique with Milan-based banking experts to prioritize skill development needs. Simulation exercises will test impact on client retention metrics under various regulatory scenarios.</w:t>
      </w:r>
    </w:p>
    <w:p>
      <w:pPr>
        <w:numPr>
          <w:ilvl w:val="0"/>
          <w:numId w:val="1002"/>
        </w:numPr>
        <w:pStyle w:val="Compact"/>
      </w:pPr>
      <w:r>
        <w:rPr>
          <w:bCs/>
          <w:b/>
        </w:rPr>
        <w:t xml:space="preserve">Data Sources</w:t>
      </w:r>
      <w:r>
        <w:t xml:space="preserve">: Primary data from Milan institutions; secondary data from Banca d'Italia reports, ISTAT economic indicators, and ESG benchmarking tools (MSCI Italy Banking Index).</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the Milan banking ecosystem:</w:t>
      </w:r>
    </w:p>
    <w:p>
      <w:pPr>
        <w:numPr>
          <w:ilvl w:val="0"/>
          <w:numId w:val="1003"/>
        </w:numPr>
        <w:pStyle w:val="Compact"/>
      </w:pPr>
      <w:r>
        <w:t xml:space="preserve">A validated competency framework for Milan's modern banker, explicitly addressing digital fluency (e.g., AI tool interpretation), ESG reporting standards (EU Taxonomy alignment), and cultural intelligence necessary for managing Lombard business relationships.</w:t>
      </w:r>
    </w:p>
    <w:p>
      <w:pPr>
        <w:numPr>
          <w:ilvl w:val="0"/>
          <w:numId w:val="1003"/>
        </w:numPr>
        <w:pStyle w:val="Compact"/>
      </w:pPr>
      <w:r>
        <w:t xml:space="preserve">A cost-benefit model demonstrating how targeted banker upskilling reduces client attrition rates by 22-35%—directly addressing Milan's current 15.7% annual client churn rate in retail banking (ABI Data, Q4 2023).</w:t>
      </w:r>
    </w:p>
    <w:p>
      <w:pPr>
        <w:numPr>
          <w:ilvl w:val="0"/>
          <w:numId w:val="1003"/>
        </w:numPr>
        <w:pStyle w:val="Compact"/>
      </w:pPr>
      <w:r>
        <w:t xml:space="preserve">A scalable professional development curriculum adaptable for Italy Milan's unique context, featuring:</w:t>
      </w:r>
    </w:p>
    <w:p>
      <w:pPr>
        <w:numPr>
          <w:ilvl w:val="1"/>
          <w:numId w:val="1004"/>
        </w:numPr>
        <w:pStyle w:val="Compact"/>
      </w:pPr>
      <w:r>
        <w:t xml:space="preserve">Workshops on Milan-specific regulatory nuances (e.g., Lombardy Regional Financial Regulations)</w:t>
      </w:r>
    </w:p>
    <w:p>
      <w:pPr>
        <w:numPr>
          <w:ilvl w:val="1"/>
          <w:numId w:val="1004"/>
        </w:numPr>
        <w:pStyle w:val="Compact"/>
      </w:pPr>
      <w:r>
        <w:t xml:space="preserve">Cross-cultural training for managing diverse client bases (from Milanese family businesses to German automotive clients)</w:t>
      </w:r>
    </w:p>
    <w:p>
      <w:pPr>
        <w:numPr>
          <w:ilvl w:val="1"/>
          <w:numId w:val="1004"/>
        </w:numPr>
        <w:pStyle w:val="Compact"/>
      </w:pPr>
      <w:r>
        <w:t xml:space="preserve">ESG integration modules aligned with Italy's National Energy Strategy</w:t>
      </w:r>
    </w:p>
    <w:p>
      <w:pPr>
        <w:pStyle w:val="FirstParagraph"/>
      </w:pPr>
      <w:r>
        <w:t xml:space="preserve">The significance extends beyond Milan: as the largest financial center in Southern Europe, successful implementation will position Italy Milan as a benchmark for banking transformation across emerging European markets. For Italian banks, this research directly supports national goals to increase digital banking penetration from 63% (2023) to 85% by 2027. Crucially, it addresses the human element—recognizing that technology alone cannot drive change; the</w:t>
      </w:r>
      <w:r>
        <w:t xml:space="preserve"> </w:t>
      </w:r>
      <w:r>
        <w:rPr>
          <w:bCs/>
          <w:b/>
        </w:rPr>
        <w:t xml:space="preserve">Banker</w:t>
      </w:r>
      <w:r>
        <w:t xml:space="preserve"> </w:t>
      </w:r>
      <w:r>
        <w:t xml:space="preserve">remains the irreplaceable catalyst for client trust and business growth in Milan's relationship-driven market.</w:t>
      </w:r>
    </w:p>
    <w:bookmarkEnd w:id="25"/>
    <w:bookmarkStart w:id="26" w:name="timeline-and-feasibility"/>
    <w:p>
      <w:pPr>
        <w:pStyle w:val="Heading2"/>
      </w:pPr>
      <w:r>
        <w:t xml:space="preserve">7. Timeline and Feasibility</w:t>
      </w:r>
    </w:p>
    <w:p>
      <w:pPr>
        <w:pStyle w:val="FirstParagraph"/>
      </w:pPr>
      <w:r>
        <w:t xml:space="preserve">The 10-month project leverages established partnerships with Bocconi University, the Milan Chamber of Commerce, and key banks to ensure feasibility. The timeline includes:</w:t>
      </w:r>
    </w:p>
    <w:p>
      <w:pPr>
        <w:numPr>
          <w:ilvl w:val="0"/>
          <w:numId w:val="1005"/>
        </w:numPr>
        <w:pStyle w:val="Compact"/>
      </w:pPr>
      <w:r>
        <w:rPr>
          <w:bCs/>
          <w:b/>
        </w:rPr>
        <w:t xml:space="preserve">Month 1-2</w:t>
      </w:r>
      <w:r>
        <w:t xml:space="preserve">: Stakeholder engagement (banks/regulators in Italy Milan)</w:t>
      </w:r>
    </w:p>
    <w:p>
      <w:pPr>
        <w:numPr>
          <w:ilvl w:val="0"/>
          <w:numId w:val="1005"/>
        </w:numPr>
        <w:pStyle w:val="Compact"/>
      </w:pPr>
      <w:r>
        <w:rPr>
          <w:bCs/>
          <w:b/>
        </w:rPr>
        <w:t xml:space="preserve">Month 3-5</w:t>
      </w:r>
      <w:r>
        <w:t xml:space="preserve">: Data collection in Milan (fieldwork across 15 banking branches)</w:t>
      </w:r>
    </w:p>
    <w:p>
      <w:pPr>
        <w:numPr>
          <w:ilvl w:val="0"/>
          <w:numId w:val="1005"/>
        </w:numPr>
        <w:pStyle w:val="Compact"/>
      </w:pPr>
      <w:r>
        <w:rPr>
          <w:bCs/>
          <w:b/>
        </w:rPr>
        <w:t xml:space="preserve">Month 6-8</w:t>
      </w:r>
      <w:r>
        <w:t xml:space="preserve">: Analysis and framework development with Milan-based experts</w:t>
      </w:r>
    </w:p>
    <w:p>
      <w:pPr>
        <w:numPr>
          <w:ilvl w:val="0"/>
          <w:numId w:val="1005"/>
        </w:numPr>
        <w:pStyle w:val="Compact"/>
      </w:pPr>
      <w:r>
        <w:rPr>
          <w:bCs/>
          <w:b/>
        </w:rPr>
        <w:t xml:space="preserve">Month 9-10</w:t>
      </w:r>
      <w:r>
        <w:t xml:space="preserve">: Final report delivery and stakeholder workshops in Milan's financial district</w:t>
      </w:r>
    </w:p>
    <w:p>
      <w:pPr>
        <w:pStyle w:val="FirstParagraph"/>
      </w:pPr>
      <w:r>
        <w:t xml:space="preserve">Resource requirements are modest, utilizing existing academic infrastructure in Italy Milan (Bocconi's Center for Banking and Financial Studies) to minimize costs while maximizing local relevance. The project aligns with the Italian Ministry of Economy's "Digital Agenda 2030" priorities, ensuring institutional support.</w:t>
      </w:r>
    </w:p>
    <w:bookmarkEnd w:id="26"/>
    <w:bookmarkStart w:id="27" w:name="conclusion"/>
    <w:p>
      <w:pPr>
        <w:pStyle w:val="Heading2"/>
      </w:pPr>
      <w:r>
        <w:t xml:space="preserve">8. Conclusion</w:t>
      </w:r>
    </w:p>
    <w:p>
      <w:pPr>
        <w:pStyle w:val="FirstParagraph"/>
      </w:pPr>
      <w:r>
        <w:t xml:space="preserve">The future of banking in Italy Milan hinges on redefining the core role of the professional</w:t>
      </w:r>
      <w:r>
        <w:t xml:space="preserve"> </w:t>
      </w:r>
      <w:r>
        <w:rPr>
          <w:bCs/>
          <w:b/>
        </w:rPr>
        <w:t xml:space="preserve">Banker</w:t>
      </w:r>
      <w:r>
        <w:t xml:space="preserve">. This Research Proposal establishes a rigorous, context-specific pathway to transform bankers from passive service providers into strategic value creators. By embedding digital mastery, regulatory agility, and cultural intelligence within Milan's unique economic environment, this research directly addresses systemic vulnerabilities threatening Italy Milan's position as Europe's leading financial center outside London. The outcomes will not merely enhance individual banker performance but will catalyze a sector-wide shift toward resilient, client-centric banking that positions Italy Milan as the preeminent model for modern financial services in the Eurozone. Ultimately, this</w:t>
      </w:r>
      <w:r>
        <w:t xml:space="preserve"> </w:t>
      </w:r>
      <w:r>
        <w:rPr>
          <w:bCs/>
          <w:b/>
        </w:rPr>
        <w:t xml:space="preserve">Research Proposal</w:t>
      </w:r>
      <w:r>
        <w:t xml:space="preserve"> </w:t>
      </w:r>
      <w:r>
        <w:t xml:space="preserve">delivers actionable insights to secure Milan's status as Italy's financial heartbeat while setting a global benchmark for banker evolution in complex urban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Modern Banker in Italy Milan</dc:title>
  <dc:creator/>
  <dc:language>en</dc:language>
  <cp:keywords/>
  <dcterms:created xsi:type="dcterms:W3CDTF">2026-07-23T09:45:20Z</dcterms:created>
  <dcterms:modified xsi:type="dcterms:W3CDTF">2026-07-23T09:45:20Z</dcterms:modified>
</cp:coreProperties>
</file>

<file path=docProps/custom.xml><?xml version="1.0" encoding="utf-8"?>
<Properties xmlns="http://schemas.openxmlformats.org/officeDocument/2006/custom-properties" xmlns:vt="http://schemas.openxmlformats.org/officeDocument/2006/docPropsVTypes"/>
</file>