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Italy's</w:t>
      </w:r>
      <w:r>
        <w:t xml:space="preserve"> </w:t>
      </w:r>
      <w:r>
        <w:t xml:space="preserve">Rome</w:t>
      </w:r>
      <w:r>
        <w:t xml:space="preserve"> </w:t>
      </w:r>
      <w:r>
        <w:t xml:space="preserve">Financial</w:t>
      </w:r>
      <w:r>
        <w:t xml:space="preserve"> </w:t>
      </w:r>
      <w:r>
        <w:t xml:space="preserve">Hub</w:t>
      </w:r>
    </w:p>
    <w:bookmarkStart w:id="29" w:name="X7ac90e9b8522f44fd6e495008c8d427f30fd635"/>
    <w:p>
      <w:pPr>
        <w:pStyle w:val="Heading1"/>
      </w:pPr>
      <w:r>
        <w:t xml:space="preserve">Research Proposal: The Evolving Role of the Modern Banker in Italy's Rome Financial Hub</w:t>
      </w:r>
    </w:p>
    <w:bookmarkStart w:id="20" w:name="introduction-and-background"/>
    <w:p>
      <w:pPr>
        <w:pStyle w:val="Heading2"/>
      </w:pPr>
      <w:r>
        <w:t xml:space="preserve">1. Introduction and Background</w:t>
      </w:r>
    </w:p>
    <w:p>
      <w:pPr>
        <w:pStyle w:val="FirstParagraph"/>
      </w:pPr>
      <w:r>
        <w:t xml:space="preserve">Rome, as Italy's historic capital and a major European financial center, represents a unique convergence of ancient banking traditions and contemporary fintech innovation. The Italian banking sector, deeply embedded in the nation's economic fabric through institutions like Banca d'Italia and legacy banks such as UniCredit and Intesa Sanpaolo, faces unprecedented transformation. This research proposes an in-depth investigation into the evolving professional identity of the</w:t>
      </w:r>
      <w:r>
        <w:t xml:space="preserve"> </w:t>
      </w:r>
      <w:r>
        <w:rPr>
          <w:bCs/>
          <w:b/>
        </w:rPr>
        <w:t xml:space="preserve">Banker</w:t>
      </w:r>
      <w:r>
        <w:t xml:space="preserve"> </w:t>
      </w:r>
      <w:r>
        <w:t xml:space="preserve">within Rome's dynamic financial ecosystem. While Italy has maintained banking stability amid European economic fluctuations, Rome-specific challenges—ranging from heritage client relationships to digital disruption—demand context-sensitive analysis. This study bridges theoretical banking frameworks with Rome's distinct socio-economic landscape, positioning the modern</w:t>
      </w:r>
      <w:r>
        <w:t xml:space="preserve"> </w:t>
      </w:r>
      <w:r>
        <w:rPr>
          <w:bCs/>
          <w:b/>
        </w:rPr>
        <w:t xml:space="preserve">Banker</w:t>
      </w:r>
      <w:r>
        <w:t xml:space="preserve"> </w:t>
      </w:r>
      <w:r>
        <w:t xml:space="preserve">as both guardian of tradition and architect of innovation in Italy's financial capital.</w:t>
      </w:r>
    </w:p>
    <w:bookmarkEnd w:id="20"/>
    <w:bookmarkStart w:id="21" w:name="problem-statement"/>
    <w:p>
      <w:pPr>
        <w:pStyle w:val="Heading2"/>
      </w:pPr>
      <w:r>
        <w:t xml:space="preserve">2. Problem Statement</w:t>
      </w:r>
    </w:p>
    <w:p>
      <w:pPr>
        <w:pStyle w:val="FirstParagraph"/>
      </w:pPr>
      <w:r>
        <w:t xml:space="preserve">Rome's banking sector operates at a critical inflection point. Traditional relationship-based banking—historically dominant in Italian institutions—clashes with digital transformation demands, regulatory shifts (e.g., MiFID II), and evolving client expectations. Unlike London or Paris, Rome’s market retains strong personal-customer connections rooted in cultural norms of trust-building ("</w:t>
      </w:r>
      <w:r>
        <w:rPr>
          <w:iCs/>
          <w:i/>
        </w:rPr>
        <w:t xml:space="preserve">fiducia</w:t>
      </w:r>
      <w:r>
        <w:t xml:space="preserve">"). However, a gap exists between global banking trends and Rome-specific practices:</w:t>
      </w:r>
      <w:r>
        <w:t xml:space="preserve"> </w:t>
      </w:r>
      <w:r>
        <w:rPr>
          <w:bCs/>
          <w:b/>
        </w:rPr>
        <w:t xml:space="preserve">Banker</w:t>
      </w:r>
      <w:r>
        <w:t xml:space="preserve"> </w:t>
      </w:r>
      <w:r>
        <w:t xml:space="preserve">competencies are neither systematically mapped nor adapted to local client expectations. Simultaneously, Italy's high non-performing loan ratio (12.3% in 2023) exacerbates pressure on</w:t>
      </w:r>
      <w:r>
        <w:t xml:space="preserve"> </w:t>
      </w:r>
      <w:r>
        <w:rPr>
          <w:bCs/>
          <w:b/>
        </w:rPr>
        <w:t xml:space="preserve">Banker</w:t>
      </w:r>
      <w:r>
        <w:t xml:space="preserve">s to balance risk management with personalized service. Without Rome-centric research, Italian banks risk implementing generic solutions that ignore the city’s unique market dynamics, potentially eroding trust in a sector vital to Italy's post-pandemic recovery.</w:t>
      </w:r>
    </w:p>
    <w:bookmarkEnd w:id="21"/>
    <w:bookmarkStart w:id="22" w:name="research-objectives-and-questions"/>
    <w:p>
      <w:pPr>
        <w:pStyle w:val="Heading2"/>
      </w:pPr>
      <w:r>
        <w:t xml:space="preserve">3. Research Objectives and Questions</w:t>
      </w:r>
    </w:p>
    <w:p>
      <w:pPr>
        <w:pStyle w:val="FirstParagraph"/>
      </w:pPr>
      <w:r>
        <w:t xml:space="preserve">This proposal defines three primary objectives:</w:t>
      </w:r>
      <w:r>
        <w:br/>
      </w:r>
      <w:r>
        <w:rPr>
          <w:bCs/>
          <w:b/>
        </w:rPr>
        <w:t xml:space="preserve">Objective 1:</w:t>
      </w:r>
      <w:r>
        <w:t xml:space="preserve"> </w:t>
      </w:r>
      <w:r>
        <w:t xml:space="preserve">Map the current skill set of Rome-based bankers across traditional (relationship management, credit analysis) and emerging domains (data analytics, sustainable finance).</w:t>
      </w:r>
      <w:r>
        <w:br/>
      </w:r>
      <w:r>
        <w:rPr>
          <w:bCs/>
          <w:b/>
        </w:rPr>
        <w:t xml:space="preserve">Objective 2:</w:t>
      </w:r>
      <w:r>
        <w:t xml:space="preserve"> </w:t>
      </w:r>
      <w:r>
        <w:t xml:space="preserve">Analyze how cultural context shapes client expectations in Rome—e.g., preference for face-to-face interactions versus digital platforms.</w:t>
      </w:r>
      <w:r>
        <w:br/>
      </w:r>
      <w:r>
        <w:rPr>
          <w:bCs/>
          <w:b/>
        </w:rPr>
        <w:t xml:space="preserve">Objective 3:</w:t>
      </w:r>
      <w:r>
        <w:t xml:space="preserve"> </w:t>
      </w:r>
      <w:r>
        <w:t xml:space="preserve">Develop a framework for Rome-specific banker training that integrates regulatory compliance with local trust-building practices.</w:t>
      </w:r>
    </w:p>
    <w:p>
      <w:pPr>
        <w:pStyle w:val="BodyText"/>
      </w:pPr>
      <w:r>
        <w:rPr>
          <w:iCs/>
          <w:i/>
        </w:rPr>
        <w:t xml:space="preserve">Key Research Questions:</w:t>
      </w:r>
      <w:r>
        <w:br/>
      </w:r>
      <w:r>
        <w:t xml:space="preserve">• How do bankers in Rome reconcile heritage client-management techniques with digital banking tools amid Italy's regulatory landscape?</w:t>
      </w:r>
      <w:r>
        <w:br/>
      </w:r>
      <w:r>
        <w:t xml:space="preserve">• To what extent does Rome’s cultural identity influence the perceived value of a</w:t>
      </w:r>
      <w:r>
        <w:t xml:space="preserve"> </w:t>
      </w:r>
      <w:r>
        <w:rPr>
          <w:bCs/>
          <w:b/>
        </w:rPr>
        <w:t xml:space="preserve">Banker</w:t>
      </w:r>
      <w:r>
        <w:t xml:space="preserve"> </w:t>
      </w:r>
      <w:r>
        <w:t xml:space="preserve">compared to other European capitals?</w:t>
      </w:r>
      <w:r>
        <w:br/>
      </w:r>
      <w:r>
        <w:t xml:space="preserve">• What training modules would best prepare Roman bankers for hybrid service models (digital + in-person) without compromising "Italian" relational trust?</w:t>
      </w:r>
    </w:p>
    <w:bookmarkEnd w:id="22"/>
    <w:bookmarkStart w:id="23" w:name="literature-review-contextual-foundation"/>
    <w:p>
      <w:pPr>
        <w:pStyle w:val="Heading2"/>
      </w:pPr>
      <w:r>
        <w:t xml:space="preserve">4. Literature Review (Contextual Foundation)</w:t>
      </w:r>
    </w:p>
    <w:p>
      <w:pPr>
        <w:pStyle w:val="FirstParagraph"/>
      </w:pPr>
      <w:r>
        <w:t xml:space="preserve">Existing scholarship on banking focuses either on macroeconomic trends (e.g., ECB policy impacts) or digital disruption in global hubs like Frankfurt, overlooking Rome's nuances. While studies by the Bank of Italy highlight sector-wide challenges, none examine the</w:t>
      </w:r>
      <w:r>
        <w:t xml:space="preserve"> </w:t>
      </w:r>
      <w:r>
        <w:rPr>
          <w:bCs/>
          <w:b/>
        </w:rPr>
        <w:t xml:space="preserve">Banker</w:t>
      </w:r>
      <w:r>
        <w:t xml:space="preserve">'s role through a Rome-specific lens. Research by De Rosa (2021) on "Italian Banking Culture" notes that 78% of Roman clients prioritize personal rapport over online efficiency—a statistic critical for this study. Conversely, FinTech reports (e.g., Italy FinTech Report 2023) emphasize digital adoption gaps in Southern Italy, but Rome’s status as a financial gateway to Europe necessitates distinct analysis. This project fills the void by centering</w:t>
      </w:r>
      <w:r>
        <w:t xml:space="preserve"> </w:t>
      </w:r>
      <w:r>
        <w:rPr>
          <w:bCs/>
          <w:b/>
        </w:rPr>
        <w:t xml:space="preserve">Banker</w:t>
      </w:r>
      <w:r>
        <w:t xml:space="preserve"> </w:t>
      </w:r>
      <w:r>
        <w:t xml:space="preserve">agency within Rome's socio-cultural and economic framework.</w:t>
      </w:r>
    </w:p>
    <w:bookmarkEnd w:id="23"/>
    <w:bookmarkStart w:id="24" w:name="methodology"/>
    <w:p>
      <w:pPr>
        <w:pStyle w:val="Heading2"/>
      </w:pPr>
      <w:r>
        <w:t xml:space="preserve">5. Methodology</w:t>
      </w:r>
    </w:p>
    <w:p>
      <w:pPr>
        <w:pStyle w:val="FirstParagraph"/>
      </w:pPr>
      <w:r>
        <w:t xml:space="preserve">A mixed-methods approach will ensure rigor:</w:t>
      </w:r>
      <w:r>
        <w:br/>
      </w:r>
      <w:r>
        <w:t xml:space="preserve">•</w:t>
      </w:r>
      <w:r>
        <w:t xml:space="preserve"> </w:t>
      </w:r>
      <w:r>
        <w:rPr>
          <w:iCs/>
          <w:i/>
        </w:rPr>
        <w:t xml:space="preserve">Quantitative Phase:</w:t>
      </w:r>
      <w:r>
        <w:t xml:space="preserve"> </w:t>
      </w:r>
      <w:r>
        <w:t xml:space="preserve">Survey of 300 bankers across 15 Rome-based institutions (including legacy banks, neobanks, and credit unions), measuring competency gaps using a 5-point Likert scale. Target response rate: 60%.</w:t>
      </w:r>
      <w:r>
        <w:br/>
      </w:r>
      <w:r>
        <w:t xml:space="preserve">•</w:t>
      </w:r>
      <w:r>
        <w:t xml:space="preserve"> </w:t>
      </w:r>
      <w:r>
        <w:rPr>
          <w:iCs/>
          <w:i/>
        </w:rPr>
        <w:t xml:space="preserve">Qualitative Phase:</w:t>
      </w:r>
      <w:r>
        <w:t xml:space="preserve"> </w:t>
      </w:r>
      <w:r>
        <w:t xml:space="preserve">In-depth interviews with 25 senior bankers and focus groups (3 sessions of 8 clients each) exploring cultural expectations. All data will be transcribed and analyzed via thematic coding using NVivo.</w:t>
      </w:r>
      <w:r>
        <w:br/>
      </w:r>
      <w:r>
        <w:t xml:space="preserve">•</w:t>
      </w:r>
      <w:r>
        <w:t xml:space="preserve"> </w:t>
      </w:r>
      <w:r>
        <w:rPr>
          <w:iCs/>
          <w:i/>
        </w:rPr>
        <w:t xml:space="preserve">Rome-Specific Sampling Strategy:</w:t>
      </w:r>
      <w:r>
        <w:t xml:space="preserve"> </w:t>
      </w:r>
      <w:r>
        <w:t xml:space="preserve">Stratified sampling by bank type (public, private, fintech), client demographics (retail vs. SME), and neighborhood (e.g., EUR business district vs. historic center) to capture urban diversity.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r>
        <w:br/>
      </w:r>
      <w:r>
        <w:t xml:space="preserve">• A validated competency framework for Rome’s</w:t>
      </w:r>
      <w:r>
        <w:t xml:space="preserve"> </w:t>
      </w:r>
      <w:r>
        <w:rPr>
          <w:bCs/>
          <w:b/>
        </w:rPr>
        <w:t xml:space="preserve">Banker</w:t>
      </w:r>
      <w:r>
        <w:t xml:space="preserve">, categorizing skills into "Tradition-Driven" (e.g., Italian contract negotiation) and "Innovation-Driven" (e.g., ESG reporting).</w:t>
      </w:r>
      <w:r>
        <w:br/>
      </w:r>
      <w:r>
        <w:t xml:space="preserve">• An evidence-based model for hybrid banking services, directly addressing Italy's 2024 Digital Banking Strategy.</w:t>
      </w:r>
      <w:r>
        <w:br/>
      </w:r>
      <w:r>
        <w:t xml:space="preserve">• Policy recommendations for Rome’s financial authorities on</w:t>
      </w:r>
      <w:r>
        <w:t xml:space="preserve"> </w:t>
      </w:r>
      <w:r>
        <w:rPr>
          <w:bCs/>
          <w:b/>
        </w:rPr>
        <w:t xml:space="preserve">Banker</w:t>
      </w:r>
      <w:r>
        <w:t xml:space="preserve">-centric training standards.</w:t>
      </w:r>
    </w:p>
    <w:p>
      <w:pPr>
        <w:pStyle w:val="BodyText"/>
      </w:pPr>
      <w:r>
        <w:t xml:space="preserve">The significance extends beyond academia: For Italian banks, findings will optimize client retention in a market where 63% of clients cite "personal connection" as pivotal (Banca d'Italia, 2023). For Rome specifically—home to over 15% of Italy’s banking jobs—this research could catalyze job creation through enhanced</w:t>
      </w:r>
      <w:r>
        <w:t xml:space="preserve"> </w:t>
      </w:r>
      <w:r>
        <w:rPr>
          <w:bCs/>
          <w:b/>
        </w:rPr>
        <w:t xml:space="preserve">Banker</w:t>
      </w:r>
      <w:r>
        <w:t xml:space="preserve"> </w:t>
      </w:r>
      <w:r>
        <w:t xml:space="preserve">training programs. Crucially, it positions Rome as a leader in "culturally intelligent banking," offering a replicable blueprint for other European cities with historic financial legacies.</w:t>
      </w:r>
    </w:p>
    <w:bookmarkEnd w:id="25"/>
    <w:bookmarkStart w:id="26" w:name="ethical-considerations-and-timeline"/>
    <w:p>
      <w:pPr>
        <w:pStyle w:val="Heading2"/>
      </w:pPr>
      <w:r>
        <w:t xml:space="preserve">7. Ethical Considerations and Timeline</w:t>
      </w:r>
    </w:p>
    <w:p>
      <w:pPr>
        <w:pStyle w:val="FirstParagraph"/>
      </w:pPr>
      <w:r>
        <w:t xml:space="preserve">Ethical approval will be secured from Sapienza University of Rome’s IRB committee. All participant data will be anonymized per GDPR, with consent forms in Italian and English. The 10-month timeline includes:</w:t>
      </w:r>
      <w:r>
        <w:br/>
      </w:r>
      <w:r>
        <w:t xml:space="preserve">• Months 1–2: Ethics approval and survey design.</w:t>
      </w:r>
      <w:r>
        <w:br/>
      </w:r>
      <w:r>
        <w:t xml:space="preserve">• Months 3–5: Data collection (Rome-focused fieldwork).</w:t>
      </w:r>
      <w:r>
        <w:br/>
      </w:r>
      <w:r>
        <w:t xml:space="preserve">• Months 6–8: Analysis and framework development.</w:t>
      </w:r>
      <w:r>
        <w:br/>
      </w:r>
      <w:r>
        <w:t xml:space="preserve">• Month 9: Stakeholder workshops with Rome’s Banking Association (</w:t>
      </w:r>
      <w:r>
        <w:rPr>
          <w:iCs/>
          <w:i/>
        </w:rPr>
        <w:t xml:space="preserve">Associazione Bancaria Italiana</w:t>
      </w:r>
      <w:r>
        <w:t xml:space="preserve">).</w:t>
      </w:r>
      <w:r>
        <w:br/>
      </w:r>
      <w:r>
        <w:t xml:space="preserve">• Month 10: Final report delivery.</w:t>
      </w:r>
    </w:p>
    <w:bookmarkEnd w:id="26"/>
    <w:bookmarkStart w:id="28" w:name="conclusion"/>
    <w:p>
      <w:pPr>
        <w:pStyle w:val="Heading2"/>
      </w:pPr>
      <w:r>
        <w:t xml:space="preserve">8. Conclusion</w:t>
      </w:r>
    </w:p>
    <w:p>
      <w:pPr>
        <w:pStyle w:val="FirstParagraph"/>
      </w:pPr>
      <w:r>
        <w:t xml:space="preserve">The role of the modern</w:t>
      </w:r>
      <w:r>
        <w:t xml:space="preserve"> </w:t>
      </w:r>
      <w:r>
        <w:rPr>
          <w:bCs/>
          <w:b/>
        </w:rPr>
        <w:t xml:space="preserve">Banker</w:t>
      </w:r>
      <w:r>
        <w:t xml:space="preserve"> </w:t>
      </w:r>
      <w:r>
        <w:t xml:space="preserve">in Italy’s Rome is not merely a profession—it is a cultural nexus where heritage meets innovation. As Italy navigates economic restructuring and digital inclusion, Rome’s bankers stand at the forefront of redefining financial trust. This proposal addresses a critical gap by grounding research in Rome's unique reality: its blend of ancient banking ethos and 21st-century challenges. By prioritizing the</w:t>
      </w:r>
      <w:r>
        <w:t xml:space="preserve"> </w:t>
      </w:r>
      <w:r>
        <w:rPr>
          <w:bCs/>
          <w:b/>
        </w:rPr>
        <w:t xml:space="preserve">Banker</w:t>
      </w:r>
      <w:r>
        <w:t xml:space="preserve">'s evolving identity within Italy’s capital, this study promises actionable insights to strengthen Rome’s position as Europe’s most resilient financial hub. The outcomes will empower both Roman bankers and Italian policymakers to build a finance system that honors tradition while embracing tomorrow—proving that in Rome, the future of banking is written with both history and innovation.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Italy's Rome Financial Hub</dc:title>
  <dc:creator/>
  <dc:language>en</dc:language>
  <cp:keywords/>
  <dcterms:created xsi:type="dcterms:W3CDTF">2025-12-10T15:38:06Z</dcterms:created>
  <dcterms:modified xsi:type="dcterms:W3CDTF">2025-12-10T15:38:06Z</dcterms:modified>
</cp:coreProperties>
</file>

<file path=docProps/custom.xml><?xml version="1.0" encoding="utf-8"?>
<Properties xmlns="http://schemas.openxmlformats.org/officeDocument/2006/custom-properties" xmlns:vt="http://schemas.openxmlformats.org/officeDocument/2006/docPropsVTypes"/>
</file>