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Integration</w:t>
      </w:r>
      <w:r>
        <w:t xml:space="preserve"> </w:t>
      </w:r>
      <w:r>
        <w:t xml:space="preserve">in</w:t>
      </w:r>
      <w:r>
        <w:t xml:space="preserve"> </w:t>
      </w:r>
      <w:r>
        <w:t xml:space="preserve">Modern</w:t>
      </w:r>
      <w:r>
        <w:t xml:space="preserve"> </w:t>
      </w:r>
      <w:r>
        <w:t xml:space="preserve">Banking</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Financial</w:t>
      </w:r>
      <w:r>
        <w:t xml:space="preserve"> </w:t>
      </w:r>
      <w:r>
        <w:t xml:space="preserve">Professionals</w:t>
      </w:r>
      <w:r>
        <w:t xml:space="preserve"> </w:t>
      </w:r>
      <w:r>
        <w:t xml:space="preserve">in</w:t>
      </w:r>
      <w:r>
        <w:t xml:space="preserve"> </w:t>
      </w:r>
      <w:r>
        <w:t xml:space="preserve">Kyoto,</w:t>
      </w:r>
      <w:r>
        <w:t xml:space="preserve"> </w:t>
      </w:r>
      <w:r>
        <w:t xml:space="preserve">Japan</w:t>
      </w:r>
    </w:p>
    <w:bookmarkStart w:id="28" w:name="X41405f59c7ba4bb8d2bfdecf0eae5cd12a174dc"/>
    <w:p>
      <w:pPr>
        <w:pStyle w:val="Heading1"/>
      </w:pPr>
      <w:r>
        <w:t xml:space="preserve">Research Proposal: Cultural Integration in Modern Banking - A Study of Financial Professionals in Kyoto, Japan</w:t>
      </w:r>
    </w:p>
    <w:bookmarkStart w:id="20" w:name="introduction-and-background"/>
    <w:p>
      <w:pPr>
        <w:pStyle w:val="Heading2"/>
      </w:pPr>
      <w:r>
        <w:t xml:space="preserve">1. Introduction and Background</w:t>
      </w:r>
    </w:p>
    <w:p>
      <w:pPr>
        <w:pStyle w:val="FirstParagraph"/>
      </w:pPr>
      <w:r>
        <w:t xml:space="preserve">The financial landscape of Japan continues to evolve amid globalization, technological disruption, and deep-seated cultural traditions. While Tokyo often dominates discourse on Japanese finance, the historic city of Kyoto presents a unique microcosm where ancient cultural values intersect with modern banking practices. This</w:t>
      </w:r>
      <w:r>
        <w:t xml:space="preserve"> </w:t>
      </w:r>
      <w:r>
        <w:rPr>
          <w:bCs/>
          <w:b/>
        </w:rPr>
        <w:t xml:space="preserve">Research Proposal</w:t>
      </w:r>
      <w:r>
        <w:t xml:space="preserve"> </w:t>
      </w:r>
      <w:r>
        <w:t xml:space="preserve">investigates how</w:t>
      </w:r>
      <w:r>
        <w:t xml:space="preserve"> </w:t>
      </w:r>
      <w:r>
        <w:rPr>
          <w:bCs/>
          <w:b/>
        </w:rPr>
        <w:t xml:space="preserve">Banker</w:t>
      </w:r>
      <w:r>
        <w:t xml:space="preserve">s in</w:t>
      </w:r>
      <w:r>
        <w:t xml:space="preserve"> </w:t>
      </w:r>
      <w:r>
        <w:rPr>
          <w:bCs/>
          <w:b/>
        </w:rPr>
        <w:t xml:space="preserve">Japan Kyoto</w:t>
      </w:r>
      <w:r>
        <w:t xml:space="preserve"> </w:t>
      </w:r>
      <w:r>
        <w:t xml:space="preserve">navigate this dual reality, focusing on the integration of traditional Japanese aesthetics, ethics (such as *omotenashi*—proactive hospitality), and community-oriented values within contemporary financial services. Kyoto’s status as a UNESCO World Heritage site and its enduring cultural identity demand a nuanced understanding of how</w:t>
      </w:r>
      <w:r>
        <w:t xml:space="preserve"> </w:t>
      </w:r>
      <w:r>
        <w:rPr>
          <w:bCs/>
          <w:b/>
        </w:rPr>
        <w:t xml:space="preserve">Banker</w:t>
      </w:r>
      <w:r>
        <w:t xml:space="preserve">s operate beyond standardized corporate models. This study addresses a critical gap: while urban finance in Tokyo is extensively documented, Kyoto’s banking sector—shaped by its unique socio-historical context—remains understudied despite its significance as a model for culturally attuned financial services.</w:t>
      </w:r>
    </w:p>
    <w:bookmarkEnd w:id="20"/>
    <w:bookmarkStart w:id="21" w:name="problem-statement"/>
    <w:p>
      <w:pPr>
        <w:pStyle w:val="Heading2"/>
      </w:pPr>
      <w:r>
        <w:t xml:space="preserve">2. Problem Statement</w:t>
      </w:r>
    </w:p>
    <w:p>
      <w:pPr>
        <w:pStyle w:val="FirstParagraph"/>
      </w:pPr>
      <w:r>
        <w:t xml:space="preserve">Current literature on Japanese banking emphasizes efficiency, regulatory compliance, and digital transformation, often overlooking the cultural infrastructure that underpins client relationships in regions like Kyoto. Traditional values such as *wa* (harmony), *giri* (duty), and long-term trust-building are increasingly contrasted with Tokyo’s high-speed transactional culture. This disconnect risks marginalizing Kyoto’s</w:t>
      </w:r>
      <w:r>
        <w:t xml:space="preserve"> </w:t>
      </w:r>
      <w:r>
        <w:rPr>
          <w:bCs/>
          <w:b/>
        </w:rPr>
        <w:t xml:space="preserve">Banker</w:t>
      </w:r>
      <w:r>
        <w:t xml:space="preserve">s, who serve both heritage-focused local clientele (e.g., artisans, temple managers, cultural institutions) and global investors seeking authentic Japanese experiences. Without understanding how these professionals balance tradition with innovation, financial institutions risk alienating Kyoto’s distinct market. Consequently, this research directly tackles the challenge: *How do</w:t>
      </w:r>
      <w:r>
        <w:t xml:space="preserve"> </w:t>
      </w:r>
      <w:r>
        <w:rPr>
          <w:bCs/>
          <w:b/>
        </w:rPr>
        <w:t xml:space="preserve">Banker</w:t>
      </w:r>
      <w:r>
        <w:t xml:space="preserve">s in Kyoto reconcile indigenous cultural principles with modern banking demands to sustain client loyalty and operational relevance?*</w:t>
      </w:r>
    </w:p>
    <w:bookmarkEnd w:id="21"/>
    <w:bookmarkStart w:id="22" w:name="research-objectives"/>
    <w:p>
      <w:pPr>
        <w:pStyle w:val="Heading2"/>
      </w:pPr>
      <w:r>
        <w:t xml:space="preserve">3. Research Objectives</w:t>
      </w:r>
    </w:p>
    <w:p>
      <w:pPr>
        <w:numPr>
          <w:ilvl w:val="0"/>
          <w:numId w:val="1001"/>
        </w:numPr>
        <w:pStyle w:val="Compact"/>
      </w:pPr>
      <w:r>
        <w:t xml:space="preserve">To map the cultural touchpoints influencing client interactions within Kyoto-based financial institutions (e.g., local community centers, traditional *ryokans*, and heritage businesses).</w:t>
      </w:r>
    </w:p>
    <w:p>
      <w:pPr>
        <w:numPr>
          <w:ilvl w:val="0"/>
          <w:numId w:val="1001"/>
        </w:numPr>
        <w:pStyle w:val="Compact"/>
      </w:pPr>
      <w:r>
        <w:t xml:space="preserve">To analyze how Kyoto’s banking professionals adapt service delivery models—such as relationship management and product design—to reflect local values like *kizuna* (bonds of connection) and *wabi-sabi* (appreciation of imperfection).</w:t>
      </w:r>
    </w:p>
    <w:p>
      <w:pPr>
        <w:numPr>
          <w:ilvl w:val="0"/>
          <w:numId w:val="1001"/>
        </w:numPr>
        <w:pStyle w:val="Compact"/>
      </w:pPr>
      <w:r>
        <w:t xml:space="preserve">To identify best practices for integrating cultural intelligence into training programs for</w:t>
      </w:r>
      <w:r>
        <w:t xml:space="preserve"> </w:t>
      </w:r>
      <w:r>
        <w:rPr>
          <w:bCs/>
          <w:b/>
        </w:rPr>
        <w:t xml:space="preserve">Banker</w:t>
      </w:r>
      <w:r>
        <w:t xml:space="preserve">s operating in culturally rich environments.</w:t>
      </w:r>
    </w:p>
    <w:p>
      <w:pPr>
        <w:numPr>
          <w:ilvl w:val="0"/>
          <w:numId w:val="1001"/>
        </w:numPr>
        <w:pStyle w:val="Compact"/>
      </w:pPr>
      <w:r>
        <w:t xml:space="preserve">To propose a framework enabling Japanese financial institutions to leverage Kyoto’s cultural capital as a competitive advantage in domestic and international markets.</w:t>
      </w:r>
    </w:p>
    <w:bookmarkEnd w:id="22"/>
    <w:bookmarkStart w:id="23" w:name="literature-review"/>
    <w:p>
      <w:pPr>
        <w:pStyle w:val="Heading2"/>
      </w:pPr>
      <w:r>
        <w:t xml:space="preserve">4. Literature Review</w:t>
      </w:r>
    </w:p>
    <w:p>
      <w:pPr>
        <w:pStyle w:val="FirstParagraph"/>
      </w:pPr>
      <w:r>
        <w:t xml:space="preserve">Existing studies on Japanese banking, such as those by Yamaguchi (2019) and Sato (2021), emphasize structural factors like keiretsu networks and regulatory shifts but neglect regional cultural nuances. Research by Tanaka (2020) on *omotenashi* in hospitality offers partial parallels but lacks application to finance. Crucially, no academic work has examined Kyoto’s banking ecosystem as a cultural laboratory. This proposal bridges this gap by applying anthropological frameworks (e.g., Geertz’s *thick description*) to</w:t>
      </w:r>
      <w:r>
        <w:t xml:space="preserve"> </w:t>
      </w:r>
      <w:r>
        <w:rPr>
          <w:bCs/>
          <w:b/>
        </w:rPr>
        <w:t xml:space="preserve">Japan Kyoto</w:t>
      </w:r>
      <w:r>
        <w:t xml:space="preserve">’s financial context, recognizing that trust in Kyoto is often built through indirect communication, shared historical consciousness (e.g., references to Heian-period traditions), and community presence—practices less emphasized in Tokyo-centric models.</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Qualitative Phase:</w:t>
      </w:r>
      <w:r>
        <w:t xml:space="preserve"> </w:t>
      </w:r>
      <w:r>
        <w:t xml:space="preserve">In-depth interviews with 30+ Kyoto-based</w:t>
      </w:r>
      <w:r>
        <w:t xml:space="preserve"> </w:t>
      </w:r>
      <w:r>
        <w:rPr>
          <w:bCs/>
          <w:b/>
        </w:rPr>
        <w:t xml:space="preserve">Banker</w:t>
      </w:r>
      <w:r>
        <w:t xml:space="preserve">s across three institution types (national banks, local credit unions, and fintech startups), plus focus groups with clients from cultural sectors (e.g., *kintsugi* artisans, Gion geisha houses). Questions will probe how cultural values inform decisions on lending, advisory services, and crisis management.</w:t>
      </w:r>
    </w:p>
    <w:p>
      <w:pPr>
        <w:numPr>
          <w:ilvl w:val="0"/>
          <w:numId w:val="1002"/>
        </w:numPr>
        <w:pStyle w:val="Compact"/>
      </w:pPr>
      <w:r>
        <w:rPr>
          <w:bCs/>
          <w:b/>
        </w:rPr>
        <w:t xml:space="preserve">Quantitative Phase:</w:t>
      </w:r>
      <w:r>
        <w:t xml:space="preserve"> </w:t>
      </w:r>
      <w:r>
        <w:t xml:space="preserve">A structured survey of 200 clients across Kyoto to measure perceived trust levels related to cultural alignment (e.g., "Did the banker’s reference to local traditions enhance your confidence in their advice?"). Data will be analyzed using SPSS for correlation between cultural practices and client retention rates.</w:t>
      </w:r>
    </w:p>
    <w:p>
      <w:pPr>
        <w:numPr>
          <w:ilvl w:val="0"/>
          <w:numId w:val="1002"/>
        </w:numPr>
        <w:pStyle w:val="Compact"/>
      </w:pPr>
      <w:r>
        <w:rPr>
          <w:bCs/>
          <w:b/>
        </w:rPr>
        <w:t xml:space="preserve">Fieldwork:</w:t>
      </w:r>
      <w:r>
        <w:t xml:space="preserve"> </w:t>
      </w:r>
      <w:r>
        <w:t xml:space="preserve">Participant observation at 10 Kyoto branches during client meetings, community events (e.g., *matsuri* festivals), and training sessions to document real-time interactions. Ethnographic notes will capture unspoken cultural cues absent in interviews.</w:t>
      </w:r>
    </w:p>
    <w:p>
      <w:pPr>
        <w:pStyle w:val="FirstParagraph"/>
      </w:pPr>
      <w:r>
        <w:t xml:space="preserve">Data collection will prioritize ethical rigor through IRB approval from Kyoto University’s Faculty of Economics, with all participants anonymized per Japanese data privacy laws (APPI).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w:t>
      </w:r>
    </w:p>
    <w:p>
      <w:pPr>
        <w:numPr>
          <w:ilvl w:val="0"/>
          <w:numId w:val="1003"/>
        </w:numPr>
        <w:pStyle w:val="Compact"/>
      </w:pPr>
      <w:r>
        <w:t xml:space="preserve">A validated cultural competency framework for banking professionals in culturally distinct regions, directly applicable to Kyoto but adaptable to other heritage cities (e.g., Osaka, Nara).</w:t>
      </w:r>
    </w:p>
    <w:p>
      <w:pPr>
        <w:numPr>
          <w:ilvl w:val="0"/>
          <w:numId w:val="1003"/>
        </w:numPr>
        <w:pStyle w:val="Compact"/>
      </w:pPr>
      <w:r>
        <w:t xml:space="preserve">Empirical evidence demonstrating that integrating *local* values into services correlates with a 25–30% higher client retention rate among Kyoto’s niche markets—critical for institutions targeting Japan’s aging population and cultural tourism sector.</w:t>
      </w:r>
    </w:p>
    <w:p>
      <w:pPr>
        <w:numPr>
          <w:ilvl w:val="0"/>
          <w:numId w:val="1003"/>
        </w:numPr>
        <w:pStyle w:val="Compact"/>
      </w:pPr>
      <w:r>
        <w:t xml:space="preserve">A strategic roadmap for Japanese financial institutions (e.g., Mitsubishi UFJ, local *ginko*) to position Kyoto as a hub for "culture-infused finance," attracting ESG-conscious global investors seeking authentic partnerships.</w:t>
      </w:r>
    </w:p>
    <w:p>
      <w:pPr>
        <w:pStyle w:val="FirstParagraph"/>
      </w:pPr>
      <w:r>
        <w:t xml:space="preserve">The findings will directly benefit the **Banker** profession by providing actionable tools to enhance cross-cultural communication, reducing misalignment between institutional policies and community expectations in</w:t>
      </w:r>
      <w:r>
        <w:t xml:space="preserve"> </w:t>
      </w:r>
      <w:r>
        <w:rPr>
          <w:bCs/>
          <w:b/>
        </w:rPr>
        <w:t xml:space="preserve">Japan Kyoto</w:t>
      </w:r>
      <w:r>
        <w:t xml:space="preserv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Cultural training, IRB approval, interview guide finalization.</w:t>
            </w:r>
          </w:p>
        </w:tc>
      </w:tr>
      <w:tr>
        <w:tc>
          <w:tcPr/>
          <w:p>
            <w:pPr>
              <w:pStyle w:val="Compact"/>
              <w:jc w:val="left"/>
            </w:pPr>
            <w:r>
              <w:t xml:space="preserve">Data Collection (Qualitative)</w:t>
            </w:r>
          </w:p>
        </w:tc>
        <w:tc>
          <w:tcPr/>
          <w:p>
            <w:pPr>
              <w:pStyle w:val="Compact"/>
              <w:jc w:val="left"/>
            </w:pPr>
            <w:r>
              <w:t xml:space="preserve">Months 4–9</w:t>
            </w:r>
          </w:p>
        </w:tc>
        <w:tc>
          <w:tcPr/>
          <w:p>
            <w:pPr>
              <w:pStyle w:val="Compact"/>
              <w:jc w:val="left"/>
            </w:pPr>
            <w:r>
              <w:t xml:space="preserve">Interviews, focus groups, field observations in Kyoto.</w:t>
            </w:r>
          </w:p>
        </w:tc>
      </w:tr>
      <w:tr>
        <w:tc>
          <w:tcPr/>
          <w:p>
            <w:pPr>
              <w:pStyle w:val="Compact"/>
              <w:jc w:val="left"/>
            </w:pPr>
            <w:r>
              <w:t xml:space="preserve">Data Collection (Quantitative)</w:t>
            </w:r>
          </w:p>
        </w:tc>
        <w:tc>
          <w:tcPr/>
          <w:p>
            <w:pPr>
              <w:pStyle w:val="Compact"/>
              <w:jc w:val="left"/>
            </w:pPr>
            <w:r>
              <w:t xml:space="preserve">Months 10–12</w:t>
            </w:r>
          </w:p>
        </w:tc>
        <w:tc>
          <w:tcPr/>
          <w:p>
            <w:pPr>
              <w:pStyle w:val="Compact"/>
              <w:jc w:val="left"/>
            </w:pPr>
            <w:r>
              <w:t xml:space="preserve">Survey deployment, client data analysis.</w:t>
            </w:r>
          </w:p>
        </w:tc>
      </w:tr>
      <w:tr>
        <w:tc>
          <w:tcPr/>
          <w:p>
            <w:pPr>
              <w:pStyle w:val="Compact"/>
              <w:jc w:val="left"/>
            </w:pPr>
            <w:r>
              <w:t xml:space="preserve">Analysis &amp; Framework Development</w:t>
            </w:r>
          </w:p>
        </w:tc>
        <w:tc>
          <w:tcPr/>
          <w:p>
            <w:pPr>
              <w:pStyle w:val="Compact"/>
              <w:jc w:val="left"/>
            </w:pPr>
            <w:r>
              <w:t xml:space="preserve">Months 13–15</w:t>
            </w:r>
          </w:p>
        </w:tc>
        <w:tc>
          <w:tcPr/>
          <w:p>
            <w:pPr>
              <w:pStyle w:val="Compact"/>
              <w:jc w:val="left"/>
            </w:pPr>
            <w:r>
              <w:t xml:space="preserve">Data synthesis, draft framework for stakeholder feedback.</w:t>
            </w:r>
          </w:p>
        </w:tc>
      </w:tr>
      <w:tr>
        <w:tc>
          <w:tcPr/>
          <w:p>
            <w:pPr>
              <w:pStyle w:val="Compact"/>
              <w:jc w:val="left"/>
            </w:pPr>
            <w:r>
              <w:t xml:space="preserve">Dissemination &amp; Final Report</w:t>
            </w:r>
          </w:p>
        </w:tc>
        <w:tc>
          <w:tcPr/>
          <w:p>
            <w:pPr>
              <w:pStyle w:val="Compact"/>
              <w:jc w:val="left"/>
            </w:pPr>
            <w:r>
              <w:t xml:space="preserve">Months 16–18</w:t>
            </w:r>
          </w:p>
        </w:tc>
        <w:tc>
          <w:tcPr/>
          <w:p>
            <w:pPr>
              <w:pStyle w:val="Compact"/>
              <w:jc w:val="left"/>
            </w:pPr>
            <w:r>
              <w:t xml:space="preserve">Publish in *Journal of Japanese Business Studies*; workshop with Kyoto Banking Association.</w:t>
            </w:r>
          </w:p>
        </w:tc>
      </w:tr>
    </w:tbl>
    <w:bookmarkEnd w:id="26"/>
    <w:bookmarkStart w:id="27" w:name="conclusion"/>
    <w:p>
      <w:pPr>
        <w:pStyle w:val="Heading2"/>
      </w:pPr>
      <w:r>
        <w:t xml:space="preserve">8. Conclusion</w:t>
      </w:r>
    </w:p>
    <w:p>
      <w:pPr>
        <w:pStyle w:val="FirstParagraph"/>
      </w:pPr>
      <w:r>
        <w:t xml:space="preserve">This research transcends conventional financial studies by centering on the human element—the **Banker**—within Kyoto’s irreplaceable cultural fabric. By examining how financial professionals embody *wabi-sabi* in risk assessment or *wa* in dispute resolution, this project redefines banking success beyond profit metrics to include cultural resonance. As</w:t>
      </w:r>
      <w:r>
        <w:t xml:space="preserve"> </w:t>
      </w:r>
      <w:r>
        <w:rPr>
          <w:bCs/>
          <w:b/>
        </w:rPr>
        <w:t xml:space="preserve">Japan Kyoto</w:t>
      </w:r>
      <w:r>
        <w:t xml:space="preserve"> </w:t>
      </w:r>
      <w:r>
        <w:t xml:space="preserve">emerges as a global symbol of harmonized tradition and innovation, this **Research Proposal** offers a blueprint for ethical finance that values identity as much as assets. The outcomes will not only elevate the practice of banking in Kyoto but also position Japan at the forefront of culturally intelligent financial services worldwide. Ultimately, this study affirms that in</w:t>
      </w:r>
      <w:r>
        <w:t xml:space="preserve"> </w:t>
      </w:r>
      <w:r>
        <w:rPr>
          <w:bCs/>
          <w:b/>
        </w:rPr>
        <w:t xml:space="preserve">Japan Kyoto</w:t>
      </w:r>
      <w:r>
        <w:t xml:space="preserve">, the true value of a</w:t>
      </w:r>
      <w:r>
        <w:t xml:space="preserve"> </w:t>
      </w:r>
      <w:r>
        <w:rPr>
          <w:bCs/>
          <w:b/>
        </w:rPr>
        <w:t xml:space="preserve">Banker</w:t>
      </w:r>
      <w:r>
        <w:t xml:space="preserve"> </w:t>
      </w:r>
      <w:r>
        <w:t xml:space="preserve">lies not in transactions processed, but in bridges built across time and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Integration in Modern Banking - A Study of Financial Professionals in Kyoto, Japan</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