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Japan</w:t>
      </w:r>
      <w:r>
        <w:t xml:space="preserve"> </w:t>
      </w:r>
      <w:r>
        <w:t xml:space="preserve">Osaka</w:t>
      </w:r>
    </w:p>
    <w:bookmarkStart w:id="33" w:name="X4155b438e8ab9f3d31ef8613bc11c3d5ab91452"/>
    <w:p>
      <w:pPr>
        <w:pStyle w:val="Heading1"/>
      </w:pPr>
      <w:r>
        <w:t xml:space="preserve">Research Proposal: The Evolving Role of Modern Bankers in Japan Osaka</w:t>
      </w:r>
    </w:p>
    <w:bookmarkStart w:id="20" w:name="introduction"/>
    <w:p>
      <w:pPr>
        <w:pStyle w:val="Heading2"/>
      </w:pPr>
      <w:r>
        <w:t xml:space="preserve">Introduction</w:t>
      </w:r>
    </w:p>
    <w:p>
      <w:pPr>
        <w:pStyle w:val="FirstParagraph"/>
      </w:pPr>
      <w:r>
        <w:t xml:space="preserve">Osaka, Japan's second-largest city and a historic commercial hub, continues to serve as a pivotal center for financial innovation in the Nippon economy. As Japan's banking sector navigates unprecedented digital transformation, regulatory shifts, and demographic challenges, the role of the modern banker has undergone significant evolution. This research proposal examines how</w:t>
      </w:r>
      <w:r>
        <w:t xml:space="preserve"> </w:t>
      </w:r>
      <w:r>
        <w:rPr>
          <w:iCs/>
          <w:i/>
        </w:rPr>
        <w:t xml:space="preserve">Banker</w:t>
      </w:r>
      <w:r>
        <w:t xml:space="preserve"> </w:t>
      </w:r>
      <w:r>
        <w:t xml:space="preserve">professionals in</w:t>
      </w:r>
      <w:r>
        <w:t xml:space="preserve"> </w:t>
      </w:r>
      <w:r>
        <w:rPr>
          <w:iCs/>
          <w:i/>
        </w:rPr>
        <w:t xml:space="preserve">Japan Osaka</w:t>
      </w:r>
      <w:r>
        <w:t xml:space="preserve"> </w:t>
      </w:r>
      <w:r>
        <w:t xml:space="preserve">are adapting to these dynamics while preserving the cultural essence of Japanese financial service. With Osaka's unique blend of traditional merchant ethos and cutting-edge fintech adoption, this study addresses a critical gap in understanding how banking practices are redefining professional identities within Japan's most commercially vibrant urban landscape.</w:t>
      </w:r>
    </w:p>
    <w:bookmarkEnd w:id="20"/>
    <w:bookmarkStart w:id="21" w:name="Xe84eb644e00f464e4bbf4b270e0b8540423d08e"/>
    <w:p>
      <w:pPr>
        <w:pStyle w:val="Heading2"/>
      </w:pPr>
      <w:r>
        <w:t xml:space="preserve">Literature Review: Contextualizing the Osaka Banking Landscape</w:t>
      </w:r>
    </w:p>
    <w:p>
      <w:pPr>
        <w:pStyle w:val="FirstParagraph"/>
      </w:pPr>
      <w:r>
        <w:t xml:space="preserve">Existing scholarship on Japanese banking predominantly focuses on Tokyo-based institutions or macroeconomic policy, overlooking Osaka's distinct financial ecosystem. While studies like Nakamura (2021) document Japan's "digital banking revolution," they neglect regional variations in service delivery. Similarly, works by Tanaka (2023) analyzing customer relationship management in Japanese banks omit Osaka-specific cultural nuances where personal trust ("</w:t>
      </w:r>
      <w:r>
        <w:rPr>
          <w:iCs/>
          <w:i/>
        </w:rPr>
        <w:t xml:space="preserve">ningyō</w:t>
      </w:r>
      <w:r>
        <w:t xml:space="preserve">") remains central to transactions despite digital adoption. This research bridges that gap by centering</w:t>
      </w:r>
      <w:r>
        <w:t xml:space="preserve"> </w:t>
      </w:r>
      <w:r>
        <w:rPr>
          <w:iCs/>
          <w:i/>
        </w:rPr>
        <w:t xml:space="preserve">Banker</w:t>
      </w:r>
      <w:r>
        <w:t xml:space="preserve"> </w:t>
      </w:r>
      <w:r>
        <w:t xml:space="preserve">roles within Osaka's unique socio-economic framework—a city where historic trading houses (</w:t>
      </w:r>
      <w:r>
        <w:rPr>
          <w:iCs/>
          <w:i/>
        </w:rPr>
        <w:t xml:space="preserve">sōgō shōsha</w:t>
      </w:r>
      <w:r>
        <w:t xml:space="preserve">) coexist with AI-driven neobanks. We argue that Osaka's banker must navigate a dual mandate: embracing technology while upholding the "Osaka charm" (</w:t>
      </w:r>
      <w:r>
        <w:rPr>
          <w:iCs/>
          <w:i/>
        </w:rPr>
        <w:t xml:space="preserve">Ōsakabishū</w:t>
      </w:r>
      <w:r>
        <w:t xml:space="preserve">) of relational commerce.</w:t>
      </w:r>
    </w:p>
    <w:bookmarkEnd w:id="21"/>
    <w:bookmarkStart w:id="22" w:name="research-objectives"/>
    <w:p>
      <w:pPr>
        <w:pStyle w:val="Heading2"/>
      </w:pPr>
      <w:r>
        <w:t xml:space="preserve">Research Objectives</w:t>
      </w:r>
    </w:p>
    <w:p>
      <w:pPr>
        <w:pStyle w:val="FirstParagraph"/>
      </w:pPr>
      <w:r>
        <w:t xml:space="preserve">This study pursues four interconnected objectives to redefine the contemporary</w:t>
      </w:r>
      <w:r>
        <w:t xml:space="preserve"> </w:t>
      </w:r>
      <w:r>
        <w:rPr>
          <w:iCs/>
          <w:i/>
        </w:rPr>
        <w:t xml:space="preserve">Banker</w:t>
      </w:r>
      <w:r>
        <w:t xml:space="preserve">'s value proposition in</w:t>
      </w:r>
      <w:r>
        <w:t xml:space="preserve"> </w:t>
      </w:r>
      <w:r>
        <w:rPr>
          <w:iCs/>
          <w:i/>
        </w:rPr>
        <w:t xml:space="preserve">Japan Osaka</w:t>
      </w:r>
      <w:r>
        <w:t xml:space="preserve">:</w:t>
      </w:r>
    </w:p>
    <w:p>
      <w:pPr>
        <w:numPr>
          <w:ilvl w:val="0"/>
          <w:numId w:val="1001"/>
        </w:numPr>
        <w:pStyle w:val="Compact"/>
      </w:pPr>
      <w:r>
        <w:t xml:space="preserve">To map the evolving skill set requirements for bankers in Osaka's post-pandemic banking sector, measuring shifts from traditional credit analysis to digital literacy and cross-cultural negotiation.</w:t>
      </w:r>
    </w:p>
    <w:p>
      <w:pPr>
        <w:numPr>
          <w:ilvl w:val="0"/>
          <w:numId w:val="1001"/>
        </w:numPr>
        <w:pStyle w:val="Compact"/>
      </w:pPr>
      <w:r>
        <w:t xml:space="preserve">To analyze how regulatory changes (e.g., Financial Services Agency's 2023 AI governance framework) impact daily operations of Osaka-based bankers across major institutions like Sumitomo Mitsui Banking Corporation (SMBC) and regional players such as The Bank of Kyoto.</w:t>
      </w:r>
    </w:p>
    <w:p>
      <w:pPr>
        <w:numPr>
          <w:ilvl w:val="0"/>
          <w:numId w:val="1001"/>
        </w:numPr>
        <w:pStyle w:val="Compact"/>
      </w:pPr>
      <w:r>
        <w:t xml:space="preserve">To evaluate customer perception gaps between Osaka residents' expectations for personalized service versus digital convenience, particularly among aging demographics (</w:t>
      </w:r>
      <w:r>
        <w:rPr>
          <w:iCs/>
          <w:i/>
        </w:rPr>
        <w:t xml:space="preserve">senior citizens</w:t>
      </w:r>
      <w:r>
        <w:t xml:space="preserve">) and young entrepreneurs (</w:t>
      </w:r>
      <w:r>
        <w:rPr>
          <w:iCs/>
          <w:i/>
        </w:rPr>
        <w:t xml:space="preserve">startup founders</w:t>
      </w:r>
      <w:r>
        <w:t xml:space="preserve">).</w:t>
      </w:r>
    </w:p>
    <w:p>
      <w:pPr>
        <w:numPr>
          <w:ilvl w:val="0"/>
          <w:numId w:val="1001"/>
        </w:numPr>
        <w:pStyle w:val="Compact"/>
      </w:pPr>
      <w:r>
        <w:t xml:space="preserve">To develop a culturally attuned competency framework for future bankers operating within Osaka's hybrid financial ecosystem.</w:t>
      </w:r>
    </w:p>
    <w:bookmarkEnd w:id="22"/>
    <w:bookmarkStart w:id="26" w:name="Xeaf056eeff62ce8a10b24d947a784465828569d"/>
    <w:p>
      <w:pPr>
        <w:pStyle w:val="Heading2"/>
      </w:pPr>
      <w:r>
        <w:t xml:space="preserve">Methodology: Mixed-Methods Approach in Osaka Context</w:t>
      </w:r>
    </w:p>
    <w:p>
      <w:pPr>
        <w:pStyle w:val="FirstParagraph"/>
      </w:pPr>
      <w:r>
        <w:t xml:space="preserve">We employ a triangulated methodology grounded in Osaka's operational reality:</w:t>
      </w:r>
    </w:p>
    <w:bookmarkStart w:id="23" w:name="X6bd83f306ce4de78a6b966ec3ecb9c1c3564b47"/>
    <w:p>
      <w:pPr>
        <w:pStyle w:val="Heading3"/>
      </w:pPr>
      <w:r>
        <w:t xml:space="preserve">Phase 1: Qualitative Fieldwork (Osaka-Specific)</w:t>
      </w:r>
    </w:p>
    <w:p>
      <w:pPr>
        <w:pStyle w:val="FirstParagraph"/>
      </w:pPr>
      <w:r>
        <w:t xml:space="preserve">Conduct semi-structured interviews with 45+ practicing bankers across Osaka's financial district (Namba, Umeda). Participants will include:</w:t>
      </w:r>
    </w:p>
    <w:p>
      <w:pPr>
        <w:numPr>
          <w:ilvl w:val="0"/>
          <w:numId w:val="1002"/>
        </w:numPr>
        <w:pStyle w:val="Compact"/>
      </w:pPr>
      <w:r>
        <w:t xml:space="preserve">Senior relationship managers at Osaka-headquartered regional banks</w:t>
      </w:r>
    </w:p>
    <w:p>
      <w:pPr>
        <w:numPr>
          <w:ilvl w:val="0"/>
          <w:numId w:val="1002"/>
        </w:numPr>
        <w:pStyle w:val="Compact"/>
      </w:pPr>
      <w:r>
        <w:t xml:space="preserve">Digital transformation officers at major national banks</w:t>
      </w:r>
    </w:p>
    <w:p>
      <w:pPr>
        <w:numPr>
          <w:ilvl w:val="0"/>
          <w:numId w:val="1002"/>
        </w:numPr>
        <w:pStyle w:val="Compact"/>
      </w:pPr>
      <w:r>
        <w:t xml:space="preserve">Fintech startup founders collaborating with Osaka-based institutions</w:t>
      </w:r>
    </w:p>
    <w:p>
      <w:pPr>
        <w:pStyle w:val="FirstParagraph"/>
      </w:pPr>
      <w:r>
        <w:t xml:space="preserve">This phase captures nuanced insights into how bankers navigate "Osaka-way" business culture amid digital pressures.</w:t>
      </w:r>
    </w:p>
    <w:bookmarkEnd w:id="23"/>
    <w:bookmarkStart w:id="24" w:name="Xa2b7a113b12b0b14004d0d33b98c6fdfe237003"/>
    <w:p>
      <w:pPr>
        <w:pStyle w:val="Heading3"/>
      </w:pPr>
      <w:r>
        <w:t xml:space="preserve">Phase 2: Quantitative Survey (Regionally Targeted)</w:t>
      </w:r>
    </w:p>
    <w:p>
      <w:pPr>
        <w:pStyle w:val="FirstParagraph"/>
      </w:pPr>
      <w:r>
        <w:t xml:space="preserve">Deploy a stratified survey to 1,200 Osaka-based customers across age groups (25-75+) and income brackets. Key metrics include:</w:t>
      </w:r>
    </w:p>
    <w:p>
      <w:pPr>
        <w:numPr>
          <w:ilvl w:val="0"/>
          <w:numId w:val="1003"/>
        </w:numPr>
        <w:pStyle w:val="Compact"/>
      </w:pPr>
      <w:r>
        <w:t xml:space="preserve">Preference for human vs. digital banking touchpoints</w:t>
      </w:r>
    </w:p>
    <w:p>
      <w:pPr>
        <w:numPr>
          <w:ilvl w:val="0"/>
          <w:numId w:val="1003"/>
        </w:numPr>
        <w:pStyle w:val="Compact"/>
      </w:pPr>
      <w:r>
        <w:t xml:space="preserve">Trust indicators in banker relationships versus AI systems</w:t>
      </w:r>
    </w:p>
    <w:p>
      <w:pPr>
        <w:numPr>
          <w:ilvl w:val="0"/>
          <w:numId w:val="1003"/>
        </w:numPr>
        <w:pStyle w:val="Compact"/>
      </w:pPr>
      <w:r>
        <w:t xml:space="preserve">Perceived value of cultural fluency (</w:t>
      </w:r>
      <w:r>
        <w:rPr>
          <w:iCs/>
          <w:i/>
        </w:rPr>
        <w:t xml:space="preserve">kotodama</w:t>
      </w:r>
      <w:r>
        <w:t xml:space="preserve">) in financial advice</w:t>
      </w:r>
    </w:p>
    <w:bookmarkEnd w:id="24"/>
    <w:bookmarkStart w:id="25" w:name="Xd224573656e3ad0418014932ac00f692df7806b"/>
    <w:p>
      <w:pPr>
        <w:pStyle w:val="Heading3"/>
      </w:pPr>
      <w:r>
        <w:t xml:space="preserve">Phase 3: Comparative Analysis (Japan Osaka vs. Tokyo)</w:t>
      </w:r>
    </w:p>
    <w:p>
      <w:pPr>
        <w:pStyle w:val="FirstParagraph"/>
      </w:pPr>
      <w:r>
        <w:t xml:space="preserve">Contrast findings with comparable data from Tokyo banking centers to isolate Osaka-specific dynamics, particularly regarding:</w:t>
      </w:r>
    </w:p>
    <w:p>
      <w:pPr>
        <w:numPr>
          <w:ilvl w:val="0"/>
          <w:numId w:val="1004"/>
        </w:numPr>
        <w:pStyle w:val="Compact"/>
      </w:pPr>
      <w:r>
        <w:t xml:space="preserve">Treatment of SME clients in Osaka's merchant-centric economy</w:t>
      </w:r>
    </w:p>
    <w:p>
      <w:pPr>
        <w:numPr>
          <w:ilvl w:val="0"/>
          <w:numId w:val="1004"/>
        </w:numPr>
        <w:pStyle w:val="Compact"/>
      </w:pPr>
      <w:r>
        <w:t xml:space="preserve">Adoption rates of blockchain for local trade finance</w:t>
      </w:r>
    </w:p>
    <w:p>
      <w:pPr>
        <w:numPr>
          <w:ilvl w:val="0"/>
          <w:numId w:val="1004"/>
        </w:numPr>
        <w:pStyle w:val="Compact"/>
      </w:pPr>
      <w:r>
        <w:t xml:space="preserve">Cultural resistance to fully automated services among elderly populations</w:t>
      </w:r>
    </w:p>
    <w:bookmarkEnd w:id="25"/>
    <w:bookmarkEnd w:id="26"/>
    <w:bookmarkStart w:id="29" w:name="expected-outcomes-and-significance"/>
    <w:p>
      <w:pPr>
        <w:pStyle w:val="Heading2"/>
      </w:pPr>
      <w:r>
        <w:t xml:space="preserve">Expected Outcomes and Significance</w:t>
      </w:r>
    </w:p>
    <w:p>
      <w:pPr>
        <w:pStyle w:val="FirstParagraph"/>
      </w:pPr>
      <w:r>
        <w:t xml:space="preserve">This research will yield two transformative outputs for the Osaka banking sector:</w:t>
      </w:r>
    </w:p>
    <w:bookmarkStart w:id="27" w:name="the-osaka-banking-competency-matrix-obcm"/>
    <w:p>
      <w:pPr>
        <w:pStyle w:val="Heading3"/>
      </w:pPr>
      <w:r>
        <w:t xml:space="preserve">1. The Osaka Banking Competency Matrix (OBCM)</w:t>
      </w:r>
    </w:p>
    <w:p>
      <w:pPr>
        <w:pStyle w:val="FirstParagraph"/>
      </w:pPr>
      <w:r>
        <w:t xml:space="preserve">A validated framework categorizing essential skills for modern bankers, blending:</w:t>
      </w:r>
    </w:p>
    <w:p>
      <w:pPr>
        <w:numPr>
          <w:ilvl w:val="0"/>
          <w:numId w:val="1005"/>
        </w:numPr>
        <w:pStyle w:val="Compact"/>
      </w:pPr>
      <w:r>
        <w:rPr>
          <w:bCs/>
          <w:b/>
        </w:rPr>
        <w:t xml:space="preserve">Technical Literacy</w:t>
      </w:r>
      <w:r>
        <w:t xml:space="preserve">: Blockchain implementation, data analytics for credit scoring</w:t>
      </w:r>
    </w:p>
    <w:p>
      <w:pPr>
        <w:numPr>
          <w:ilvl w:val="0"/>
          <w:numId w:val="1005"/>
        </w:numPr>
        <w:pStyle w:val="Compact"/>
      </w:pPr>
      <w:r>
        <w:rPr>
          <w:bCs/>
          <w:b/>
        </w:rPr>
        <w:t xml:space="preserve">Cultural Intelligence</w:t>
      </w:r>
      <w:r>
        <w:t xml:space="preserve">: Understanding Osaka-specific negotiation styles (e.g., "hakase" relationship dynamics)</w:t>
      </w:r>
    </w:p>
    <w:p>
      <w:pPr>
        <w:numPr>
          <w:ilvl w:val="0"/>
          <w:numId w:val="1005"/>
        </w:numPr>
        <w:pStyle w:val="Compact"/>
      </w:pPr>
      <w:r>
        <w:rPr>
          <w:bCs/>
          <w:b/>
        </w:rPr>
        <w:t xml:space="preserve">Ethical Navigation</w:t>
      </w:r>
      <w:r>
        <w:t xml:space="preserve">: Balancing regulatory compliance with local business ethics (</w:t>
      </w:r>
      <w:r>
        <w:rPr>
          <w:iCs/>
          <w:i/>
        </w:rPr>
        <w:t xml:space="preserve">giri</w:t>
      </w:r>
      <w:r>
        <w:t xml:space="preserve">)</w:t>
      </w:r>
    </w:p>
    <w:bookmarkEnd w:id="27"/>
    <w:bookmarkStart w:id="28" w:name="X459a449d6753be478aa7cebd419ad8916b3d7c4"/>
    <w:p>
      <w:pPr>
        <w:pStyle w:val="Heading3"/>
      </w:pPr>
      <w:r>
        <w:t xml:space="preserve">2. Policy Recommendations for Osaka's Financial Ecosystem</w:t>
      </w:r>
    </w:p>
    <w:p>
      <w:pPr>
        <w:pStyle w:val="FirstParagraph"/>
      </w:pPr>
      <w:r>
        <w:t xml:space="preserve">We will propose actionable strategies for:</w:t>
      </w:r>
    </w:p>
    <w:p>
      <w:pPr>
        <w:numPr>
          <w:ilvl w:val="0"/>
          <w:numId w:val="1006"/>
        </w:numPr>
        <w:pStyle w:val="Compact"/>
      </w:pPr>
      <w:r>
        <w:t xml:space="preserve">Banks: Developing "Osaka-First" training modules emphasizing relationship continuity during digital transitions</w:t>
      </w:r>
    </w:p>
    <w:p>
      <w:pPr>
        <w:numPr>
          <w:ilvl w:val="0"/>
          <w:numId w:val="1006"/>
        </w:numPr>
        <w:pStyle w:val="Compact"/>
      </w:pPr>
      <w:r>
        <w:t xml:space="preserve">Regulators: Creating region-specific fintech sandbox guidelines acknowledging Osaka's SME-heavy economy</w:t>
      </w:r>
    </w:p>
    <w:p>
      <w:pPr>
        <w:numPr>
          <w:ilvl w:val="0"/>
          <w:numId w:val="1006"/>
        </w:numPr>
        <w:pStyle w:val="Compact"/>
      </w:pPr>
      <w:r>
        <w:t xml:space="preserve">Academia: Curriculum reforms at Osaka University and Kansai Gaidai University to prepare banking students for hybrid roles</w:t>
      </w:r>
    </w:p>
    <w:p>
      <w:pPr>
        <w:pStyle w:val="FirstParagraph"/>
      </w:pPr>
      <w:r>
        <w:t xml:space="preserve">The significance extends beyond academia. As Japan confronts demographic decline, Osaka's banker-led financial services could become a model for regional economic resilience. With 28% of Osaka's GDP tied to finance (World Bank, 2023), this study addresses a critical need: ensuring the</w:t>
      </w:r>
      <w:r>
        <w:t xml:space="preserve"> </w:t>
      </w:r>
      <w:r>
        <w:rPr>
          <w:iCs/>
          <w:i/>
        </w:rPr>
        <w:t xml:space="preserve">Banker</w:t>
      </w:r>
      <w:r>
        <w:t xml:space="preserve"> </w:t>
      </w:r>
      <w:r>
        <w:t xml:space="preserve">remains the trusted human anchor in an increasingly automated system—without sacrificing Japan's renowned service excellence.</w:t>
      </w:r>
    </w:p>
    <w:bookmarkEnd w:id="28"/>
    <w:bookmarkEnd w:id="29"/>
    <w:bookmarkStart w:id="30" w:name="timeline-and-resource-allocation"/>
    <w:p>
      <w:pPr>
        <w:pStyle w:val="Heading2"/>
      </w:pPr>
      <w:r>
        <w:t xml:space="preserve">Timeline and Resource Allocation</w:t>
      </w:r>
    </w:p>
    <w:p>
      <w:pPr>
        <w:pStyle w:val="FirstParagraph"/>
      </w:pPr>
      <w:r>
        <w:t xml:space="preserve">The 18-month project aligns with Osaka's fiscal year (April-March):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t xml:space="preserve">Data Collection (Osaka fieldwork)</w:t>
            </w:r>
          </w:p>
        </w:tc>
        <w:tc>
          <w:tcPr>
            <w:gridSpan w:val="2"/>
          </w:tcPr>
          <w:p>
            <w:pPr>
              <w:pStyle w:val="Compact"/>
              <w:jc w:val="left"/>
            </w:pPr>
            <w:r>
              <w:t xml:space="preserve">√</w:t>
            </w:r>
          </w:p>
        </w:tc>
        <w:tc>
          <w:tcPr/>
          <w:p>
            <w:pPr>
              <w:pStyle w:val="Compact"/>
            </w:pPr>
          </w:p>
        </w:tc>
      </w:tr>
      <w:tr>
        <w:tc>
          <w:tcPr/>
          <w:p>
            <w:pPr>
              <w:pStyle w:val="Compact"/>
              <w:jc w:val="left"/>
            </w:pPr>
            <w:r>
              <w:t xml:space="preserve">Survey Deployment &amp; Analysis</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OBCM Development &amp; Validation</w:t>
            </w:r>
          </w:p>
        </w:tc>
        <w:tc>
          <w:tcPr>
            <w:gridSpan w:val="2"/>
          </w:tcPr>
          <w:p>
            <w:pPr>
              <w:pStyle w:val="Compact"/>
            </w:pPr>
          </w:p>
        </w:tc>
        <w:tc>
          <w:tcPr/>
          <w:p>
            <w:pPr>
              <w:pStyle w:val="Compact"/>
              <w:jc w:val="left"/>
            </w:pPr>
            <w:r>
              <w:t xml:space="preserve">√</w:t>
            </w:r>
          </w:p>
        </w:tc>
      </w:tr>
    </w:tbl>
    <w:bookmarkEnd w:id="30"/>
    <w:bookmarkStart w:id="32" w:name="X41c48aa108f370aa87331f53637bfca1b91079a"/>
    <w:p>
      <w:pPr>
        <w:pStyle w:val="Heading2"/>
      </w:pPr>
      <w:r>
        <w:t xml:space="preserve">Conclusion: Why Osaka Matters for Global Banking</w:t>
      </w:r>
    </w:p>
    <w:p>
      <w:pPr>
        <w:pStyle w:val="FirstParagraph"/>
      </w:pPr>
      <w:r>
        <w:t xml:space="preserve">In an era where digital banking threatens to homogenize financial services, this research centers the human element at the heart of Japan's economic engine. By focusing on</w:t>
      </w:r>
      <w:r>
        <w:t xml:space="preserve"> </w:t>
      </w:r>
      <w:r>
        <w:rPr>
          <w:iCs/>
          <w:i/>
        </w:rPr>
        <w:t xml:space="preserve">Japan Osaka</w:t>
      </w:r>
      <w:r>
        <w:t xml:space="preserve">, we recognize that successful banking innovation requires contextual adaptation—not just technological replication. The modern</w:t>
      </w:r>
      <w:r>
        <w:t xml:space="preserve"> </w:t>
      </w:r>
      <w:r>
        <w:rPr>
          <w:iCs/>
          <w:i/>
        </w:rPr>
        <w:t xml:space="preserve">Banker</w:t>
      </w:r>
      <w:r>
        <w:t xml:space="preserve"> </w:t>
      </w:r>
      <w:r>
        <w:t xml:space="preserve">in Osaka must be both a tech-savvy strategist and a cultural custodian, embodying the city's spirit of "making things happen" (</w:t>
      </w:r>
      <w:r>
        <w:rPr>
          <w:iCs/>
          <w:i/>
        </w:rPr>
        <w:t xml:space="preserve">yakusoku no yume</w:t>
      </w:r>
      <w:r>
        <w:t xml:space="preserve">). This proposal advances not merely academic knowledge but practical pathways for Osaka to maintain its status as Japan’s most dynamic financial laboratory—where human judgment and digital capability coexist. Ultimately, our findings will empower bankers across Asia to serve customers with the same precision and warmth that defines Osaka’s centuries-old commerce.</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Modern Bankers in Japan Osaka</dc:title>
  <dc:creator/>
  <dc:language>en</dc:language>
  <cp:keywords/>
  <dcterms:created xsi:type="dcterms:W3CDTF">2026-07-23T04:24:28Z</dcterms:created>
  <dcterms:modified xsi:type="dcterms:W3CDTF">2026-07-23T04:24:28Z</dcterms:modified>
</cp:coreProperties>
</file>

<file path=docProps/custom.xml><?xml version="1.0" encoding="utf-8"?>
<Properties xmlns="http://schemas.openxmlformats.org/officeDocument/2006/custom-properties" xmlns:vt="http://schemas.openxmlformats.org/officeDocument/2006/docPropsVTypes"/>
</file>