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Financial</w:t>
      </w:r>
      <w:r>
        <w:t xml:space="preserve"> </w:t>
      </w:r>
      <w:r>
        <w:t xml:space="preserve">Ecosystem</w:t>
      </w:r>
    </w:p>
    <w:bookmarkStart w:id="27" w:name="Xcea0a6aa7650cf7130243cca14d3f6c951602f3"/>
    <w:p>
      <w:pPr>
        <w:pStyle w:val="Heading1"/>
      </w:pPr>
      <w:r>
        <w:t xml:space="preserve">Research Proposal: The Evolving Role of the Modern Banker in the Netherlands Amsterdam Financial Ecosystem</w:t>
      </w:r>
    </w:p>
    <w:p>
      <w:pPr>
        <w:pStyle w:val="FirstParagraph"/>
      </w:pPr>
      <w:r>
        <w:rPr>
          <w:bCs/>
          <w:b/>
        </w:rPr>
        <w:t xml:space="preserve">Abstract:</w:t>
      </w:r>
      <w:r>
        <w:t xml:space="preserve"> </w:t>
      </w:r>
      <w:r>
        <w:t xml:space="preserve">This research proposal investigates the critical transformation of the professional banker within Amsterdam, Netherlands. As a global financial hub and European headquarters for major institutions like ING, ABN AMRO, and Rabobank, Amsterdam presents a unique microcosm of contemporary banking challenges. This study examines how regulatory pressures (notably from De Nederlandsche Bank/DNB), digital disruption (fintech integration), and sustainability imperatives are reshaping the banker's role. The research aims to provide actionable insights for banks, policymakers, and educational institutions operating within the Netherlands Amsterdam landscape.</w:t>
      </w:r>
    </w:p>
    <w:bookmarkStart w:id="20" w:name="X2497fee334a7dae15e3213e24bb720af5c95c7a"/>
    <w:p>
      <w:pPr>
        <w:pStyle w:val="Heading2"/>
      </w:pPr>
      <w:r>
        <w:t xml:space="preserve">1. Introduction: Context of Banking in Netherlands Amsterdam</w:t>
      </w:r>
    </w:p>
    <w:p>
      <w:pPr>
        <w:pStyle w:val="FirstParagraph"/>
      </w:pPr>
      <w:r>
        <w:t xml:space="preserve">Amsterdam stands as a pivotal node in the European financial network, housing the headquarters of several major Dutch banks and serving as a key operational center for international institutions. The Netherlands, with its stable economy and advanced regulatory framework underpinned by De Nederlandsche Bank (DNB), provides fertile ground for innovative banking models. However, the traditional functions of the</w:t>
      </w:r>
      <w:r>
        <w:t xml:space="preserve"> </w:t>
      </w:r>
      <w:r>
        <w:rPr>
          <w:iCs/>
          <w:i/>
        </w:rPr>
        <w:t xml:space="preserve">Banker</w:t>
      </w:r>
      <w:r>
        <w:t xml:space="preserve"> </w:t>
      </w:r>
      <w:r>
        <w:t xml:space="preserve">are undergoing unprecedented change. This research directly addresses this shift within the specific context of</w:t>
      </w:r>
      <w:r>
        <w:t xml:space="preserve"> </w:t>
      </w:r>
      <w:r>
        <w:rPr>
          <w:bCs/>
          <w:b/>
        </w:rPr>
        <w:t xml:space="preserve">Netherlands Amsterdam</w:t>
      </w:r>
      <w:r>
        <w:t xml:space="preserve">, where geopolitical events, stringent EU regulations (e.g., PSD2, MiFID II), and a strong cultural emphasis on sustainability converge to redefine professional banking practice. Understanding the modern</w:t>
      </w:r>
      <w:r>
        <w:t xml:space="preserve"> </w:t>
      </w:r>
      <w:r>
        <w:rPr>
          <w:iCs/>
          <w:i/>
        </w:rPr>
        <w:t xml:space="preserve">Banker</w:t>
      </w:r>
      <w:r>
        <w:t xml:space="preserve">'s evolving responsibilities is not merely academic; it is essential for maintaining Amsterdam's position as a leading European financial center.</w:t>
      </w:r>
    </w:p>
    <w:bookmarkEnd w:id="20"/>
    <w:bookmarkStart w:id="21" w:name="Xd12a2c7ca0f99bbed1ec8da1ec506352848d439"/>
    <w:p>
      <w:pPr>
        <w:pStyle w:val="Heading2"/>
      </w:pPr>
      <w:r>
        <w:t xml:space="preserve">2. Problem Statement: The Contemporary Challenges Facing the Banker</w:t>
      </w:r>
    </w:p>
    <w:p>
      <w:pPr>
        <w:pStyle w:val="FirstParagraph"/>
      </w:pPr>
      <w:r>
        <w:t xml:space="preserve">The role of the Banker in Netherlands Amsterdam has transcended transactional services to encompass complex strategic, regulatory, and ethical dimensions. Key challenges include:</w:t>
      </w:r>
    </w:p>
    <w:p>
      <w:pPr>
        <w:numPr>
          <w:ilvl w:val="0"/>
          <w:numId w:val="1001"/>
        </w:numPr>
        <w:pStyle w:val="Compact"/>
      </w:pPr>
      <w:r>
        <w:rPr>
          <w:bCs/>
          <w:b/>
        </w:rPr>
        <w:t xml:space="preserve">Regulatory Complexity:</w:t>
      </w:r>
      <w:r>
        <w:t xml:space="preserve"> </w:t>
      </w:r>
      <w:r>
        <w:t xml:space="preserve">Navigating DNB's evolving supervisory expectations, AML/CFT compliance (e.g., EU’s 6AMLD), and cross-border regulations post-Brexit demands significant upskilling from the Banker.</w:t>
      </w:r>
    </w:p>
    <w:p>
      <w:pPr>
        <w:numPr>
          <w:ilvl w:val="0"/>
          <w:numId w:val="1001"/>
        </w:numPr>
        <w:pStyle w:val="Compact"/>
      </w:pPr>
      <w:r>
        <w:rPr>
          <w:bCs/>
          <w:b/>
        </w:rPr>
        <w:t xml:space="preserve">Digital Transformation &amp; Fintech Integration:</w:t>
      </w:r>
      <w:r>
        <w:t xml:space="preserve"> </w:t>
      </w:r>
      <w:r>
        <w:t xml:space="preserve">Amsterdam is a hotspot for fintech innovation. The modern Banker must adeptly leverage AI-driven analytics, blockchain for settlements, and digital customer platforms while managing integration risks and legacy system constraints.</w:t>
      </w:r>
    </w:p>
    <w:p>
      <w:pPr>
        <w:numPr>
          <w:ilvl w:val="0"/>
          <w:numId w:val="1001"/>
        </w:numPr>
        <w:pStyle w:val="Compact"/>
      </w:pPr>
      <w:r>
        <w:rPr>
          <w:bCs/>
          <w:b/>
        </w:rPr>
        <w:t xml:space="preserve">Sustainability Imperatives:</w:t>
      </w:r>
      <w:r>
        <w:t xml:space="preserve"> </w:t>
      </w:r>
      <w:r>
        <w:t xml:space="preserve">Dutch banks are leaders in ESG (Environmental, Social, Governance) finance under the EU Green Deal. The Banker is increasingly responsible for assessing climate risk (via TCFD), facilitating green bonds, and embedding sustainability into client advisory services – a significant shift from purely financial analysis.</w:t>
      </w:r>
    </w:p>
    <w:p>
      <w:pPr>
        <w:numPr>
          <w:ilvl w:val="0"/>
          <w:numId w:val="1001"/>
        </w:numPr>
        <w:pStyle w:val="Compact"/>
      </w:pPr>
      <w:r>
        <w:rPr>
          <w:bCs/>
          <w:b/>
        </w:rPr>
        <w:t xml:space="preserve">Client Expectations:</w:t>
      </w:r>
      <w:r>
        <w:t xml:space="preserve"> </w:t>
      </w:r>
      <w:r>
        <w:t xml:space="preserve">Amsterdam’s sophisticated client base demands hyper-personalized, seamless digital experiences alongside deep expertise in complex international transactions and cross-border wealth management.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Systematically map the current competencies required of a frontline Banker within major Dutch banks operating in Amsterdam, comparing them against historical requirements.</w:t>
      </w:r>
    </w:p>
    <w:p>
      <w:pPr>
        <w:numPr>
          <w:ilvl w:val="0"/>
          <w:numId w:val="1002"/>
        </w:numPr>
        <w:pStyle w:val="Compact"/>
      </w:pPr>
      <w:r>
        <w:t xml:space="preserve">Analyze the impact of DNB regulatory guidance and EU legislation on daily banking operations and decision-making processes for the Banker.</w:t>
      </w:r>
    </w:p>
    <w:p>
      <w:pPr>
        <w:numPr>
          <w:ilvl w:val="0"/>
          <w:numId w:val="1002"/>
        </w:numPr>
        <w:pStyle w:val="Compact"/>
      </w:pPr>
      <w:r>
        <w:t xml:space="preserve">Evaluate how Amsterdam-based banks are integrating fintech solutions into core banker workflows (e.g., CRM platforms, risk assessment tools) and assessing their effectiveness.</w:t>
      </w:r>
    </w:p>
    <w:p>
      <w:pPr>
        <w:numPr>
          <w:ilvl w:val="0"/>
          <w:numId w:val="1002"/>
        </w:numPr>
        <w:pStyle w:val="Compact"/>
      </w:pPr>
      <w:r>
        <w:t xml:space="preserve">Assess the development of ESG-related skills and client advisory practices among bankers in Netherlands Amsterdam, focusing on practical implementation challenges.</w:t>
      </w:r>
    </w:p>
    <w:p>
      <w:pPr>
        <w:numPr>
          <w:ilvl w:val="0"/>
          <w:numId w:val="1002"/>
        </w:numPr>
        <w:pStyle w:val="Compact"/>
      </w:pPr>
      <w:r>
        <w:t xml:space="preserve">Develop a forward-looking competency framework for the future Banker in the Netherlands Amsterdam ecosystem to guide training, recruitment, and strategic planning.</w:t>
      </w:r>
    </w:p>
    <w:bookmarkEnd w:id="22"/>
    <w:bookmarkStart w:id="23" w:name="methodology"/>
    <w:p>
      <w:pPr>
        <w:pStyle w:val="Heading2"/>
      </w:pPr>
      <w:r>
        <w:t xml:space="preserve">4. Methodology</w:t>
      </w:r>
    </w:p>
    <w:p>
      <w:pPr>
        <w:pStyle w:val="FirstParagraph"/>
      </w:pPr>
      <w:r>
        <w:t xml:space="preserve">This mixed-methods research will be conducted specifically within the Netherlands Amsterdam context over 18 months:</w:t>
      </w:r>
    </w:p>
    <w:p>
      <w:pPr>
        <w:numPr>
          <w:ilvl w:val="0"/>
          <w:numId w:val="1003"/>
        </w:numPr>
        <w:pStyle w:val="Compact"/>
      </w:pPr>
      <w:r>
        <w:rPr>
          <w:bCs/>
          <w:b/>
        </w:rPr>
        <w:t xml:space="preserve">Qualitative Phase (Months 1-6):</w:t>
      </w:r>
      <w:r>
        <w:t xml:space="preserve"> </w:t>
      </w:r>
      <w:r>
        <w:t xml:space="preserve">In-depth, semi-structured interviews with 30+ key stakeholders: senior bankers (relationship managers, risk officers) from ING, ABN AMRO, Rabobank; DNB compliance officers; fintech founders based in Amsterdam; and HR leaders from major financial institutions. Focus on lived experience of evolving roles.</w:t>
      </w:r>
    </w:p>
    <w:p>
      <w:pPr>
        <w:numPr>
          <w:ilvl w:val="0"/>
          <w:numId w:val="1003"/>
        </w:numPr>
        <w:pStyle w:val="Compact"/>
      </w:pPr>
      <w:r>
        <w:rPr>
          <w:bCs/>
          <w:b/>
        </w:rPr>
        <w:t xml:space="preserve">Quantitative Phase (Months 7-12):</w:t>
      </w:r>
      <w:r>
        <w:t xml:space="preserve"> </w:t>
      </w:r>
      <w:r>
        <w:t xml:space="preserve">A structured online survey distributed to 500+ practicing bankers across Amsterdam-based institutions. Measures competency gaps, perceived regulatory burden, digital tool adoption rates, ESG integration levels, and career development needs.</w:t>
      </w:r>
    </w:p>
    <w:p>
      <w:pPr>
        <w:numPr>
          <w:ilvl w:val="0"/>
          <w:numId w:val="1003"/>
        </w:numPr>
        <w:pStyle w:val="Compact"/>
      </w:pPr>
      <w:r>
        <w:rPr>
          <w:bCs/>
          <w:b/>
        </w:rPr>
        <w:t xml:space="preserve">Data Synthesis &amp; Framework Development (Months 13-18):</w:t>
      </w:r>
      <w:r>
        <w:t xml:space="preserve"> </w:t>
      </w:r>
      <w:r>
        <w:t xml:space="preserve">Triangulating qualitative insights with survey data to identify core competency clusters (e.g., Regulatory Agility, Digital Fluency, Sustainable Finance Advisory). Developing the proposed future-proof Banker competency framework. Validation workshops with DNB representatives and banking association members in Amsterdam.</w:t>
      </w:r>
    </w:p>
    <w:bookmarkEnd w:id="23"/>
    <w:bookmarkStart w:id="24" w:name="significance-and-expected-contribution"/>
    <w:p>
      <w:pPr>
        <w:pStyle w:val="Heading2"/>
      </w:pPr>
      <w:r>
        <w:t xml:space="preserve">5. Significance and Expected Contribution</w:t>
      </w:r>
    </w:p>
    <w:p>
      <w:pPr>
        <w:pStyle w:val="FirstParagraph"/>
      </w:pPr>
      <w:r>
        <w:t xml:space="preserve">This research proposal addresses a critical gap in understanding the human element within Amsterdam's rapidly evolving financial infrastructure. The findings will directly benefit:</w:t>
      </w:r>
    </w:p>
    <w:p>
      <w:pPr>
        <w:numPr>
          <w:ilvl w:val="0"/>
          <w:numId w:val="1004"/>
        </w:numPr>
        <w:pStyle w:val="Compact"/>
      </w:pPr>
      <w:r>
        <w:rPr>
          <w:bCs/>
          <w:b/>
        </w:rPr>
        <w:t xml:space="preserve">Financial Institutions (Amsterdam):</w:t>
      </w:r>
      <w:r>
        <w:t xml:space="preserve"> </w:t>
      </w:r>
      <w:r>
        <w:t xml:space="preserve">To redesign training programs, optimize talent management, and enhance client service models aligned with Dutch regulatory and market demands.</w:t>
      </w:r>
    </w:p>
    <w:p>
      <w:pPr>
        <w:numPr>
          <w:ilvl w:val="0"/>
          <w:numId w:val="1004"/>
        </w:numPr>
        <w:pStyle w:val="Compact"/>
      </w:pPr>
      <w:r>
        <w:rPr>
          <w:bCs/>
          <w:b/>
        </w:rPr>
        <w:t xml:space="preserve">De Nederlandsche Bank (DNB):</w:t>
      </w:r>
      <w:r>
        <w:t xml:space="preserve"> </w:t>
      </w:r>
      <w:r>
        <w:t xml:space="preserve">Providing empirical data on the practical impact of regulations on frontline staff to inform future supervisory approaches within the Netherlands Amsterdam ecosystem.</w:t>
      </w:r>
    </w:p>
    <w:p>
      <w:pPr>
        <w:numPr>
          <w:ilvl w:val="0"/>
          <w:numId w:val="1004"/>
        </w:numPr>
        <w:pStyle w:val="Compact"/>
      </w:pPr>
      <w:r>
        <w:rPr>
          <w:bCs/>
          <w:b/>
        </w:rPr>
        <w:t xml:space="preserve">Educational Institutions:</w:t>
      </w:r>
      <w:r>
        <w:t xml:space="preserve"> </w:t>
      </w:r>
      <w:r>
        <w:t xml:space="preserve">Universities and professional bodies (e.g., Dutch Association of Financial Services) can update curricula to reflect the modern Banker's required skillset, ensuring graduates are job-ready for Amsterdam's market.</w:t>
      </w:r>
    </w:p>
    <w:p>
      <w:pPr>
        <w:numPr>
          <w:ilvl w:val="0"/>
          <w:numId w:val="1004"/>
        </w:numPr>
        <w:pStyle w:val="Compact"/>
      </w:pPr>
      <w:r>
        <w:rPr>
          <w:bCs/>
          <w:b/>
        </w:rPr>
        <w:t xml:space="preserve">Policymakers (Netherlands):</w:t>
      </w:r>
      <w:r>
        <w:t xml:space="preserve"> </w:t>
      </w:r>
      <w:r>
        <w:t xml:space="preserve">Contributing evidence-based insights for national financial strategy, supporting the Netherlands' position as a leader in responsible finance within Europe.</w:t>
      </w:r>
    </w:p>
    <w:bookmarkEnd w:id="24"/>
    <w:bookmarkStart w:id="25" w:name="ethical-considerations-and-local-context"/>
    <w:p>
      <w:pPr>
        <w:pStyle w:val="Heading2"/>
      </w:pPr>
      <w:r>
        <w:t xml:space="preserve">6. Ethical Considerations and Local Context</w:t>
      </w:r>
    </w:p>
    <w:p>
      <w:pPr>
        <w:pStyle w:val="FirstParagraph"/>
      </w:pPr>
      <w:r>
        <w:t xml:space="preserve">All research adheres strictly to Dutch ethical guidelines (WMO) and GDPR regulations. Participant anonymity will be protected through pseudonymization, with explicit informed consent obtained from all interviewees and survey participants in the Netherlands Amsterdam region. The study acknowledges the unique cultural context of Dutch banking – emphasizing direct communication ("het rechtstreeks"), consensus-building ("consensusvorming"), and strong work-life balance expectations – which significantly influences how Bankers operate and adapt. This local nuance is central to interpreting findings within the Netherlands Amsterdam framework.</w:t>
      </w:r>
    </w:p>
    <w:bookmarkEnd w:id="25"/>
    <w:bookmarkStart w:id="26" w:name="conclusion"/>
    <w:p>
      <w:pPr>
        <w:pStyle w:val="Heading2"/>
      </w:pPr>
      <w:r>
        <w:t xml:space="preserve">7. Conclusion</w:t>
      </w:r>
    </w:p>
    <w:p>
      <w:pPr>
        <w:pStyle w:val="FirstParagraph"/>
      </w:pPr>
      <w:r>
        <w:t xml:space="preserve">The role of the Banker in Netherlands Amsterdam is no longer defined solely by loan approvals or account management. It has evolved into a dynamic, multi-faceted position demanding regulatory mastery, technological fluency, sustainability acumen, and deep client partnership – all operating within the specific constraints and opportunities of the Dutch financial ecosystem. This research proposal outlines a rigorous plan to document this evolution and provide actionable insights crucial for sustaining Amsterdam's preeminent status as a European financial center. By focusing precisely on the realities faced by the modern Banker in</w:t>
      </w:r>
      <w:r>
        <w:t xml:space="preserve"> </w:t>
      </w:r>
      <w:r>
        <w:rPr>
          <w:bCs/>
          <w:b/>
        </w:rPr>
        <w:t xml:space="preserve">Netherlands Amsterdam</w:t>
      </w:r>
      <w:r>
        <w:t xml:space="preserve">, this study will deliver significant value to all stakeholders navigating the future of banking in one of Europe's most influential financial hubs.</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the Netherlands Amsterdam Financial Ecosystem</dc:title>
  <dc:creator/>
  <dc:language>en</dc:language>
  <cp:keywords/>
  <dcterms:created xsi:type="dcterms:W3CDTF">2025-12-11T06:25:40Z</dcterms:created>
  <dcterms:modified xsi:type="dcterms:W3CDTF">2025-12-11T06:25:40Z</dcterms:modified>
</cp:coreProperties>
</file>

<file path=docProps/custom.xml><?xml version="1.0" encoding="utf-8"?>
<Properties xmlns="http://schemas.openxmlformats.org/officeDocument/2006/custom-properties" xmlns:vt="http://schemas.openxmlformats.org/officeDocument/2006/docPropsVTypes"/>
</file>