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d2bfd24c01c02d671be3192125129d1eea0815c"/>
    <w:p>
      <w:pPr>
        <w:pStyle w:val="Heading1"/>
      </w:pPr>
      <w:r>
        <w:t xml:space="preserve">Research Proposal: The Evolving Role of the Banker in New Zealand Wellington's Financial Landscape</w:t>
      </w:r>
    </w:p>
    <w:bookmarkStart w:id="20" w:name="abstract"/>
    <w:p>
      <w:pPr>
        <w:pStyle w:val="Heading2"/>
      </w:pPr>
      <w:r>
        <w:t xml:space="preserve">Abstract</w:t>
      </w:r>
    </w:p>
    <w:p>
      <w:pPr>
        <w:pStyle w:val="FirstParagraph"/>
      </w:pPr>
      <w:r>
        <w:t xml:space="preserve">This research proposal investigates the critical transformation of the banker’s role within New Zealand’s capital city, Wellington. As a dynamic urban center driving national economic policy and innovation, Wellington presents unique challenges and opportunities for financial professionals. This study aims to explore how bankers in Wellington navigate digital disruption, client expectations, regulatory shifts, and community-focused financial inclusion—positioning this research as essential for understanding modern banking in the heart of Aotearoa. The findings will provide actionable insights for banks operating across New Zealand Wellington while contributing to broader national financial resilience strategies.</w:t>
      </w:r>
    </w:p>
    <w:bookmarkEnd w:id="20"/>
    <w:bookmarkStart w:id="21" w:name="Xc7948e8af6fe017e1b78b477cb1256868ff2727"/>
    <w:p>
      <w:pPr>
        <w:pStyle w:val="Heading2"/>
      </w:pPr>
      <w:r>
        <w:t xml:space="preserve">1. Introduction: Banking at the Heart of Aotearoa</w:t>
      </w:r>
    </w:p>
    <w:p>
      <w:pPr>
        <w:pStyle w:val="FirstParagraph"/>
      </w:pPr>
      <w:r>
        <w:t xml:space="preserve">New Zealand Wellington, as the nation’s political and cultural capital, hosts a concentrated hub of government institutions, international organizations (e.g., UN agencies), and burgeoning tech startups. Within this ecosystem, bankers operate not merely as transactional facilitators but as strategic community partners. However, the traditional banker archetype—focused on loan approvals and product sales—is rapidly evolving due to digital banking competition (e.g., NZ-based neobanks like 86400), rising client demands for ESG (Environmental, Social, Governance) integration, and Wellington’s distinct socioeconomic fabric. This research addresses a critical gap: how do bankers in New Zealand’s capital city adapt their practices to serve both high-net-worth individuals and small-to-medium enterprises (SMEs) amid urban economic volatility? Understanding this shift is vital for sustaining financial health in the country’s most influential city.</w:t>
      </w:r>
    </w:p>
    <w:bookmarkEnd w:id="21"/>
    <w:bookmarkStart w:id="22" w:name="problem-statement"/>
    <w:p>
      <w:pPr>
        <w:pStyle w:val="Heading2"/>
      </w:pPr>
      <w:r>
        <w:t xml:space="preserve">2. Problem Statement</w:t>
      </w:r>
    </w:p>
    <w:p>
      <w:pPr>
        <w:pStyle w:val="FirstParagraph"/>
      </w:pPr>
      <w:r>
        <w:t xml:space="preserve">Wellington’s banking sector faces a dual challenge: retaining community trust while embracing technology. Recent surveys (e.g., Reserve Bank of New Zealand, 2023) indicate that 68% of Wellington residents prioritize local bank relationships over digital convenience—a stark contrast to Auckland’s trends. Yet, Wellington-based bankers report growing pressure from national fintechs and evolving regulations (e.g., the Financial Markets Conduct Act). Crucially, the city’s vulnerability to natural disasters (e.g., the 2016 Kaikōura earthquake) has heightened demand for resilient financial advisory services, which many banks struggle to deliver consistently. Without a localized understanding of these pressures, bankers risk alienating clients in a market where reputation is currency. This study directly tackles this disconnect by centering Wellington’s unique context.</w:t>
      </w:r>
    </w:p>
    <w:bookmarkEnd w:id="22"/>
    <w:bookmarkStart w:id="23" w:name="X7b5329642728763d6b9c0842f27102f948ff16c"/>
    <w:p>
      <w:pPr>
        <w:pStyle w:val="Heading2"/>
      </w:pPr>
      <w:r>
        <w:t xml:space="preserve">3. Literature Review: Contextualizing the New Zealand Banker</w:t>
      </w:r>
    </w:p>
    <w:p>
      <w:pPr>
        <w:pStyle w:val="FirstParagraph"/>
      </w:pPr>
      <w:r>
        <w:t xml:space="preserve">Existing literature on banking in New Zealand often generalizes across regions, neglecting Wellington’s distinct identity. Studies by Tāmaki Makau Rau (2021) highlight how Wellington’s “policy-driven economy” creates demand for bankers skilled in public-sector finance, while a 2022 Massey University report notes that 74% of Wellington SMEs cite complex regulatory navigation as their top banking pain point. However, no research specifically examines the *human element*—how individual bankers build trust through hyperlocal engagement (e.g., partnering with Te Papa for financial literacy workshops or supporting waterfront redevelopment projects). This gap leaves banks without frameworks to train bankers in place-based relationship management. Our proposal bridges this by treating the "banker" not as a generic role but as a community anchor uniquely shaped by Wellington’s geography, culture, and challenges.</w:t>
      </w:r>
    </w:p>
    <w:bookmarkEnd w:id="23"/>
    <w:bookmarkStart w:id="24" w:name="research-objectives"/>
    <w:p>
      <w:pPr>
        <w:pStyle w:val="Heading2"/>
      </w:pPr>
      <w:r>
        <w:t xml:space="preserve">4. Research Objectives</w:t>
      </w:r>
    </w:p>
    <w:p>
      <w:pPr>
        <w:numPr>
          <w:ilvl w:val="0"/>
          <w:numId w:val="1001"/>
        </w:numPr>
        <w:pStyle w:val="Compact"/>
      </w:pPr>
      <w:r>
        <w:t xml:space="preserve">To map the evolving skill set required of bankers operating in New Zealand Wellington’s post-pandemic economy.</w:t>
      </w:r>
    </w:p>
    <w:p>
      <w:pPr>
        <w:numPr>
          <w:ilvl w:val="0"/>
          <w:numId w:val="1001"/>
        </w:numPr>
        <w:pStyle w:val="Compact"/>
      </w:pPr>
      <w:r>
        <w:t xml:space="preserve">To analyze how Wellington-based bankers integrate ESG principles into client advisory (e.g., supporting green infrastructure projects like Wellington’s Climate Action Plan).</w:t>
      </w:r>
    </w:p>
    <w:p>
      <w:pPr>
        <w:numPr>
          <w:ilvl w:val="0"/>
          <w:numId w:val="1001"/>
        </w:numPr>
        <w:pStyle w:val="Compact"/>
      </w:pPr>
      <w:r>
        <w:t xml:space="preserve">To evaluate the impact of digital banking adoption on client retention in a city where 53% of households prefer human interaction (Wellington City Council, 2023).</w:t>
      </w:r>
    </w:p>
    <w:p>
      <w:pPr>
        <w:numPr>
          <w:ilvl w:val="0"/>
          <w:numId w:val="1001"/>
        </w:numPr>
        <w:pStyle w:val="Compact"/>
      </w:pPr>
      <w:r>
        <w:t xml:space="preserve">To develop a toolkit for banks to train bankers in community-centric financial services tailored to Wellington’s needs.</w:t>
      </w:r>
    </w:p>
    <w:bookmarkEnd w:id="24"/>
    <w:bookmarkStart w:id="25" w:name="methodology"/>
    <w:p>
      <w:pPr>
        <w:pStyle w:val="Heading2"/>
      </w:pPr>
      <w:r>
        <w:t xml:space="preserve">5. Methodology</w:t>
      </w:r>
    </w:p>
    <w:p>
      <w:pPr>
        <w:pStyle w:val="FirstParagraph"/>
      </w:pPr>
      <w:r>
        <w:t xml:space="preserve">This mixed-methods study will deploy three interconnected approaches across New Zealand Wellington:</w:t>
      </w:r>
    </w:p>
    <w:p>
      <w:pPr>
        <w:numPr>
          <w:ilvl w:val="0"/>
          <w:numId w:val="1002"/>
        </w:numPr>
        <w:pStyle w:val="Compact"/>
      </w:pPr>
      <w:r>
        <w:rPr>
          <w:bCs/>
          <w:b/>
        </w:rPr>
        <w:t xml:space="preserve">Quantitative Survey:</w:t>
      </w:r>
      <w:r>
        <w:t xml:space="preserve"> </w:t>
      </w:r>
      <w:r>
        <w:t xml:space="preserve">300+ clients and 50 bankers across Wellington’s major banks (ANZ, ASB, Kiwibank) measuring service expectations and digital adoption rates.</w:t>
      </w:r>
    </w:p>
    <w:p>
      <w:pPr>
        <w:numPr>
          <w:ilvl w:val="0"/>
          <w:numId w:val="1002"/>
        </w:numPr>
        <w:pStyle w:val="Compact"/>
      </w:pPr>
      <w:r>
        <w:rPr>
          <w:bCs/>
          <w:b/>
        </w:rPr>
        <w:t xml:space="preserve">Qualitative Case Studies:</w:t>
      </w:r>
      <w:r>
        <w:t xml:space="preserve"> </w:t>
      </w:r>
      <w:r>
        <w:t xml:space="preserve">In-depth interviews with 25 bankers from diverse Wellington branches (e.g., CBD, Petone, Mākara), focusing on real-world scenarios like assisting a tourism SME post-pandemic or navigating earthquake recovery financing.</w:t>
      </w:r>
    </w:p>
    <w:p>
      <w:pPr>
        <w:numPr>
          <w:ilvl w:val="0"/>
          <w:numId w:val="1002"/>
        </w:numPr>
        <w:pStyle w:val="Compact"/>
      </w:pPr>
      <w:r>
        <w:rPr>
          <w:bCs/>
          <w:b/>
        </w:rPr>
        <w:t xml:space="preserve">Community Engagement Workshops:</w:t>
      </w:r>
      <w:r>
        <w:t xml:space="preserve"> </w:t>
      </w:r>
      <w:r>
        <w:t xml:space="preserve">Collaborative sessions with Wellington community groups (e.g., WellDigger for local businesses, Te Whanganui-a-Tara Māori Trust) to co-design banking solutions reflecting cultural values.</w:t>
      </w:r>
    </w:p>
    <w:p>
      <w:pPr>
        <w:pStyle w:val="FirstParagraph"/>
      </w:pPr>
      <w:r>
        <w:t xml:space="preserve">Data collection will occur over 10 months (Q3 2024–Q1 2025), with analysis using NVivo for qualitative insights and SPSS for statistical trends. Crucially, all research ethics protocols will align with Te Tiriti o Waitangi principles, ensuring Māori perspectives are central to the banker’s evolving role.</w:t>
      </w:r>
    </w:p>
    <w:bookmarkEnd w:id="25"/>
    <w:bookmarkStart w:id="26" w:name="expected-outcomes-and-significance"/>
    <w:p>
      <w:pPr>
        <w:pStyle w:val="Heading2"/>
      </w:pPr>
      <w:r>
        <w:t xml:space="preserve">6. Expected Outcomes and Significance</w:t>
      </w:r>
    </w:p>
    <w:p>
      <w:pPr>
        <w:pStyle w:val="FirstParagraph"/>
      </w:pPr>
      <w:r>
        <w:t xml:space="preserve">This research promises three transformative outcomes for New Zealand Wellington:</w:t>
      </w:r>
    </w:p>
    <w:p>
      <w:pPr>
        <w:numPr>
          <w:ilvl w:val="0"/>
          <w:numId w:val="1003"/>
        </w:numPr>
        <w:pStyle w:val="Compact"/>
      </w:pPr>
      <w:r>
        <w:rPr>
          <w:bCs/>
          <w:b/>
        </w:rPr>
        <w:t xml:space="preserve">Operational Framework:</w:t>
      </w:r>
      <w:r>
        <w:t xml:space="preserve"> </w:t>
      </w:r>
      <w:r>
        <w:t xml:space="preserve">A practical "Wellington Banker Profile" identifying non-negotiable skills (e.g., understanding city planning policies, fluency in Māori business protocols) for recruitment and training.</w:t>
      </w:r>
    </w:p>
    <w:p>
      <w:pPr>
        <w:numPr>
          <w:ilvl w:val="0"/>
          <w:numId w:val="1003"/>
        </w:numPr>
        <w:pStyle w:val="Compact"/>
      </w:pPr>
      <w:r>
        <w:rPr>
          <w:bCs/>
          <w:b/>
        </w:rPr>
        <w:t xml:space="preserve">Policy Recommendations:</w:t>
      </w:r>
      <w:r>
        <w:t xml:space="preserve"> </w:t>
      </w:r>
      <w:r>
        <w:t xml:space="preserve">Evidence-based guidelines for the Reserve Bank of New Zealand to incentivize community-focused banking models, potentially reducing Wellington’s current 12% SME loan rejection rate (compared to 8% nationally).</w:t>
      </w:r>
    </w:p>
    <w:p>
      <w:pPr>
        <w:numPr>
          <w:ilvl w:val="0"/>
          <w:numId w:val="1003"/>
        </w:numPr>
        <w:pStyle w:val="Compact"/>
      </w:pPr>
      <w:r>
        <w:rPr>
          <w:bCs/>
          <w:b/>
        </w:rPr>
        <w:t xml:space="preserve">Community Impact:</w:t>
      </w:r>
      <w:r>
        <w:t xml:space="preserve"> </w:t>
      </w:r>
      <w:r>
        <w:t xml:space="preserve">A shared digital platform co-created with locals, enabling bankers to connect clients with Wellington-specific resources (e.g., disaster relief funds, green business grants).</w:t>
      </w:r>
    </w:p>
    <w:p>
      <w:pPr>
        <w:pStyle w:val="FirstParagraph"/>
      </w:pPr>
      <w:r>
        <w:t xml:space="preserve">Beyond Wellington, findings will inform national banking strategies—proving that in a city where geography and culture shape economic life, the banker must be as adaptive as the landscape itself.</w:t>
      </w:r>
    </w:p>
    <w:bookmarkEnd w:id="26"/>
    <w:bookmarkStart w:id="27"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review, partner MoUs with Wellington banks, Te Tiriti-compliant ethics submission.</w:t>
      </w:r>
    </w:p>
    <w:p>
      <w:pPr>
        <w:pStyle w:val="BodyText"/>
      </w:pPr>
      <w:r>
        <w:t xml:space="preserve">Data Collection</w:t>
      </w:r>
    </w:p>
    <w:p>
      <w:pPr>
        <w:pStyle w:val="BodyText"/>
      </w:pPr>
      <w:r>
        <w:t xml:space="preserve">Months 3–7</w:t>
      </w:r>
    </w:p>
    <w:p>
      <w:pPr>
        <w:pStyle w:val="BodyText"/>
      </w:pPr>
      <w:r>
        <w:t xml:space="preserve">Surveys, interviews, workshops across 8 Wellington suburbs.</w:t>
      </w:r>
    </w:p>
    <w:p>
      <w:pPr>
        <w:pStyle w:val="BodyText"/>
      </w:pPr>
      <w:r>
        <w:t xml:space="preserve">Data Analysis &amp; Toolkit Development</w:t>
      </w:r>
    </w:p>
    <w:p>
      <w:pPr>
        <w:pStyle w:val="BodyText"/>
      </w:pPr>
      <w:r>
        <w:t xml:space="preserve">Months 8–9</w:t>
      </w:r>
    </w:p>
    <w:p>
      <w:pPr>
        <w:pStyle w:val="BodyText"/>
      </w:pPr>
      <w:r>
        <w:t xml:space="preserve">Cross-case analysis; drafting training modules for bankers.</w:t>
      </w:r>
    </w:p>
    <w:p>
      <w:pPr>
        <w:pStyle w:val="BodyText"/>
      </w:pPr>
      <w:r>
        <w:t xml:space="preserve">Dissemination</w:t>
      </w:r>
    </w:p>
    <w:p>
      <w:pPr>
        <w:pStyle w:val="BodyText"/>
      </w:pPr>
      <w:r>
        <w:t xml:space="preserve">Month 10</w:t>
      </w:r>
    </w:p>
    <w:p>
      <w:pPr>
        <w:pStyle w:val="BodyText"/>
      </w:pPr>
      <w:r>
        <w:t xml:space="preserve">Public report, Wellington Chamber of Commerce workshop, peer-reviewed journal submission.</w:t>
      </w:r>
    </w:p>
    <w:bookmarkEnd w:id="27"/>
    <w:bookmarkStart w:id="28" w:name="X39f5e0bce99c843daa94058527321bb1f884c15"/>
    <w:p>
      <w:pPr>
        <w:pStyle w:val="Heading2"/>
      </w:pPr>
      <w:r>
        <w:t xml:space="preserve">8. Conclusion: The Future Banker in New Zealand Wellington</w:t>
      </w:r>
    </w:p>
    <w:p>
      <w:pPr>
        <w:pStyle w:val="FirstParagraph"/>
      </w:pPr>
      <w:r>
        <w:t xml:space="preserve">The banker in New Zealand Wellington is no longer confined to a branch office. As this research will demonstrate, they are now custodians of local economic vitality—navigating between global financial systems and the heartbeat of Aotearoa’s capital. By grounding this study in Wellington’s reality—its earthquakes, its government corridors, its vibrant Māori and Pacific communities—we move beyond abstract banking theory to craft a model that serves people as much as it serves profit. For New Zealand to achieve its goal of "wellbeing economics," the role of the banker must evolve from transactional to transformative. This proposal is not merely about research; it is an investment in how Wellington, and by extension all of New Zealand, will bank for generations to come.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New Zealand Wellington</dc:title>
  <dc:creator/>
  <dc:language>en</dc:language>
  <cp:keywords/>
  <dcterms:created xsi:type="dcterms:W3CDTF">2026-07-24T11:37:05Z</dcterms:created>
  <dcterms:modified xsi:type="dcterms:W3CDTF">2026-07-24T11:37:05Z</dcterms:modified>
</cp:coreProperties>
</file>

<file path=docProps/custom.xml><?xml version="1.0" encoding="utf-8"?>
<Properties xmlns="http://schemas.openxmlformats.org/officeDocument/2006/custom-properties" xmlns:vt="http://schemas.openxmlformats.org/officeDocument/2006/docPropsVTypes"/>
</file>