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Modern</w:t>
      </w:r>
      <w:r>
        <w:t xml:space="preserve"> </w:t>
      </w:r>
      <w:r>
        <w:t xml:space="preserve">Russia</w:t>
      </w:r>
      <w:r>
        <w:t xml:space="preserve"> </w:t>
      </w:r>
      <w:r>
        <w:t xml:space="preserve">Moscow</w:t>
      </w:r>
    </w:p>
    <w:bookmarkStart w:id="28" w:name="X4ee2e7531ae81648e110c3a4d85b5aeed65352a"/>
    <w:p>
      <w:pPr>
        <w:pStyle w:val="Heading1"/>
      </w:pPr>
      <w:r>
        <w:t xml:space="preserve">Research Proposal: The Evolving Role of the Banker in Modern Russia Moscow</w:t>
      </w:r>
    </w:p>
    <w:bookmarkStart w:id="20" w:name="abstract"/>
    <w:p>
      <w:pPr>
        <w:pStyle w:val="Heading2"/>
      </w:pPr>
      <w:r>
        <w:t xml:space="preserve">Abstract</w:t>
      </w:r>
    </w:p>
    <w:p>
      <w:pPr>
        <w:pStyle w:val="FirstParagraph"/>
      </w:pPr>
      <w:r>
        <w:t xml:space="preserve">This research proposal investigates the critical transformation of the professional role of the</w:t>
      </w:r>
      <w:r>
        <w:t xml:space="preserve"> </w:t>
      </w:r>
      <w:r>
        <w:rPr>
          <w:bCs/>
          <w:b/>
        </w:rPr>
        <w:t xml:space="preserve">Banker</w:t>
      </w:r>
      <w:r>
        <w:t xml:space="preserve"> </w:t>
      </w:r>
      <w:r>
        <w:t xml:space="preserve">within the dynamic financial ecosystem of</w:t>
      </w:r>
      <w:r>
        <w:t xml:space="preserve"> </w:t>
      </w:r>
      <w:r>
        <w:rPr>
          <w:bCs/>
          <w:b/>
        </w:rPr>
        <w:t xml:space="preserve">Russia Moscow</w:t>
      </w:r>
      <w:r>
        <w:t xml:space="preserve">. Amidst unprecedented geopolitical shifts, economic sanctions, and digital innovation, this study aims to identify emerging challenges and adaptive strategies for banking professionals operating in Russia's primary financial hub. The research will examine how contemporary</w:t>
      </w:r>
      <w:r>
        <w:t xml:space="preserve"> </w:t>
      </w:r>
      <w:r>
        <w:rPr>
          <w:iCs/>
          <w:i/>
        </w:rPr>
        <w:t xml:space="preserve">Banker</w:t>
      </w:r>
      <w:r>
        <w:t xml:space="preserve"> </w:t>
      </w:r>
      <w:r>
        <w:t xml:space="preserve">responsibilities have evolved beyond traditional lending to encompass geopolitical risk mitigation, alternative payment system navigation, and culturally nuanced client relationship management. Focusing exclusively on</w:t>
      </w:r>
      <w:r>
        <w:t xml:space="preserve"> </w:t>
      </w:r>
      <w:r>
        <w:rPr>
          <w:bCs/>
          <w:b/>
        </w:rPr>
        <w:t xml:space="preserve">Russia Moscow</w:t>
      </w:r>
      <w:r>
        <w:t xml:space="preserve">, this project addresses a significant gap in understanding how the</w:t>
      </w:r>
      <w:r>
        <w:t xml:space="preserve"> </w:t>
      </w:r>
      <w:r>
        <w:rPr>
          <w:bCs/>
          <w:b/>
        </w:rPr>
        <w:t xml:space="preserve">Banker</w:t>
      </w:r>
      <w:r>
        <w:t xml:space="preserve">'s function intersects with local regulatory frameworks, market volatility, and the unique socio-economic landscape of Russia's capital. The findings will provide actionable insights for banking institutions, regulators, and future professionals navigating this complex environment.</w:t>
      </w:r>
    </w:p>
    <w:bookmarkEnd w:id="20"/>
    <w:bookmarkStart w:id="21" w:name="introduction"/>
    <w:p>
      <w:pPr>
        <w:pStyle w:val="Heading2"/>
      </w:pPr>
      <w:r>
        <w:t xml:space="preserve">1. Introduction</w:t>
      </w:r>
    </w:p>
    <w:p>
      <w:pPr>
        <w:pStyle w:val="FirstParagraph"/>
      </w:pPr>
      <w:r>
        <w:t xml:space="preserve">Moscow stands as the undisputed financial epicenter of</w:t>
      </w:r>
      <w:r>
        <w:t xml:space="preserve"> </w:t>
      </w:r>
      <w:r>
        <w:rPr>
          <w:bCs/>
          <w:b/>
        </w:rPr>
        <w:t xml:space="preserve">Russia Moscow</w:t>
      </w:r>
      <w:r>
        <w:t xml:space="preserve">, housing the headquarters of major banks like Sberbank, VTB, and Gazprombank. The role of the modern</w:t>
      </w:r>
      <w:r>
        <w:t xml:space="preserve"> </w:t>
      </w:r>
      <w:r>
        <w:rPr>
          <w:bCs/>
          <w:b/>
        </w:rPr>
        <w:t xml:space="preserve">Banker</w:t>
      </w:r>
      <w:r>
        <w:t xml:space="preserve"> </w:t>
      </w:r>
      <w:r>
        <w:t xml:space="preserve">in this context has transcended conventional transactional duties to become a multifaceted position requiring geopolitical acumen, technological agility, and deep cultural intelligence. Since 2022, Russia's financial sector has faced profound disruption due to international sanctions targeting its banking system. This environment necessitates an urgent examination of how the</w:t>
      </w:r>
      <w:r>
        <w:t xml:space="preserve"> </w:t>
      </w:r>
      <w:r>
        <w:rPr>
          <w:bCs/>
          <w:b/>
        </w:rPr>
        <w:t xml:space="preserve">Banker</w:t>
      </w:r>
      <w:r>
        <w:t xml:space="preserve"> </w:t>
      </w:r>
      <w:r>
        <w:t xml:space="preserve">operationalizes risk management within Moscow's constrained yet resilient economic framework. This research directly addresses a critical need: understanding the evolving competencies required for the</w:t>
      </w:r>
      <w:r>
        <w:t xml:space="preserve"> </w:t>
      </w:r>
      <w:r>
        <w:rPr>
          <w:iCs/>
          <w:i/>
        </w:rPr>
        <w:t xml:space="preserve">Banker</w:t>
      </w:r>
      <w:r>
        <w:t xml:space="preserve"> </w:t>
      </w:r>
      <w:r>
        <w:t xml:space="preserve">to maintain institutional viability and client trust in</w:t>
      </w:r>
      <w:r>
        <w:t xml:space="preserve"> </w:t>
      </w:r>
      <w:r>
        <w:rPr>
          <w:bCs/>
          <w:b/>
        </w:rPr>
        <w:t xml:space="preserve">Russia Moscow</w:t>
      </w:r>
      <w:r>
        <w:t xml:space="preserve">.</w:t>
      </w:r>
    </w:p>
    <w:bookmarkEnd w:id="21"/>
    <w:bookmarkStart w:id="22" w:name="problem-statement"/>
    <w:p>
      <w:pPr>
        <w:pStyle w:val="Heading2"/>
      </w:pPr>
      <w:r>
        <w:t xml:space="preserve">2. Problem Statement</w:t>
      </w:r>
    </w:p>
    <w:p>
      <w:pPr>
        <w:pStyle w:val="FirstParagraph"/>
      </w:pPr>
      <w:r>
        <w:t xml:space="preserve">The traditional model of the Banker, focused primarily on credit assessment, portfolio management, and regulatory compliance, is increasingly inadequate in contemporary Russia Moscow. Sanctions have severed access to SWIFT and Western payment rails, forcing banks to adopt alternative systems like SPFS (System for Transfer of Financial Messages) and bilateral agreements. Simultaneously, capital flight concerns and de-dollarization policies require Bankers to navigate complex currency fluctuations and client demands for asset protection in rubles or non-Western currencies. Furthermore, the Moscow market presents unique cultural dynamics; relationship-driven business practices ("blat" or personal connections) often intersect with formal banking protocols. This research identifies a significant knowledge gap: there is no comprehensive study detailing how Bankers in Russia Moscow are adapting their core competencies—risk assessment, client advisory, transaction execution—to this new reality. Without understanding this evolution, financial institutions risk operational inefficiencies and strategic misalignment.</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shifts in primary responsibilities of the Banker within Moscow-based financial institutions since 2021, particularly concerning sanction compliance and alternative payment infrastructure.</w:t>
      </w:r>
    </w:p>
    <w:p>
      <w:pPr>
        <w:numPr>
          <w:ilvl w:val="0"/>
          <w:numId w:val="1001"/>
        </w:numPr>
        <w:pStyle w:val="Compact"/>
      </w:pPr>
      <w:r>
        <w:t xml:space="preserve">To identify key skills now deemed essential for the effective functioning of a Banker in Russia Moscow (e.g., expertise in SPFS integration, understanding of Russian Central Bank (CBR) directives on capital controls, negotiation tactics for non-Western clients).</w:t>
      </w:r>
    </w:p>
    <w:p>
      <w:pPr>
        <w:numPr>
          <w:ilvl w:val="0"/>
          <w:numId w:val="1001"/>
        </w:numPr>
        <w:pStyle w:val="Compact"/>
      </w:pPr>
      <w:r>
        <w:t xml:space="preserve">To assess how cultural and regulatory factors unique to Moscow shape client interactions and trust-building processes for the modern Banker.</w:t>
      </w:r>
    </w:p>
    <w:p>
      <w:pPr>
        <w:numPr>
          <w:ilvl w:val="0"/>
          <w:numId w:val="1001"/>
        </w:numPr>
        <w:pStyle w:val="Compact"/>
      </w:pPr>
      <w:r>
        <w:t xml:space="preserve">To develop a framework outlining best practices for training, supporting, and retaining Bankers operating within Russia Moscow's current economic constraints.</w:t>
      </w:r>
    </w:p>
    <w:bookmarkEnd w:id="23"/>
    <w:bookmarkStart w:id="24" w:name="methodology"/>
    <w:p>
      <w:pPr>
        <w:pStyle w:val="Heading2"/>
      </w:pPr>
      <w:r>
        <w:t xml:space="preserve">4. Methodology</w:t>
      </w:r>
    </w:p>
    <w:p>
      <w:pPr>
        <w:pStyle w:val="FirstParagraph"/>
      </w:pPr>
      <w:r>
        <w:t xml:space="preserve">This study employs a mixed-methods approach grounded in the specific context of Russia Moscow:</w:t>
      </w:r>
    </w:p>
    <w:p>
      <w:pPr>
        <w:numPr>
          <w:ilvl w:val="0"/>
          <w:numId w:val="1002"/>
        </w:numPr>
        <w:pStyle w:val="Compact"/>
      </w:pPr>
      <w:r>
        <w:rPr>
          <w:bCs/>
          <w:b/>
        </w:rPr>
        <w:t xml:space="preserve">Qualitative Case Studies:</w:t>
      </w:r>
      <w:r>
        <w:t xml:space="preserve"> </w:t>
      </w:r>
      <w:r>
        <w:t xml:space="preserve">In-depth interviews with 30 senior Bankers across 5 major Moscow-headquartered banks (including both state-owned and large private institutions), focusing on daily challenges, decision-making processes, and adaptation strategies. Interviews will be conducted in Russian with professional translation to ensure accuracy.</w:t>
      </w:r>
    </w:p>
    <w:p>
      <w:pPr>
        <w:numPr>
          <w:ilvl w:val="0"/>
          <w:numId w:val="1002"/>
        </w:numPr>
        <w:pStyle w:val="Compact"/>
      </w:pPr>
      <w:r>
        <w:rPr>
          <w:bCs/>
          <w:b/>
        </w:rPr>
        <w:t xml:space="preserve">Regulatory &amp; Market Analysis:</w:t>
      </w:r>
      <w:r>
        <w:t xml:space="preserve"> </w:t>
      </w:r>
      <w:r>
        <w:t xml:space="preserve">Systematic review of Central Bank of Russia (CBR) directives (2021-2024), annual reports from Moscow-based banks, and analyses of payment system usage data to correlate regulatory shifts with the Banker's evolving role.</w:t>
      </w:r>
    </w:p>
    <w:p>
      <w:pPr>
        <w:numPr>
          <w:ilvl w:val="0"/>
          <w:numId w:val="1002"/>
        </w:numPr>
        <w:pStyle w:val="Compact"/>
      </w:pPr>
      <w:r>
        <w:rPr>
          <w:bCs/>
          <w:b/>
        </w:rPr>
        <w:t xml:space="preserve">Cross-Sectional Survey:</w:t>
      </w:r>
      <w:r>
        <w:t xml:space="preserve"> </w:t>
      </w:r>
      <w:r>
        <w:t xml:space="preserve">A structured survey targeting 150 mid-level Bankers in Moscow offices, measuring perceived changes in key competencies (e.g., geopolitical awareness, tech adoption) and operational barriers encountered.</w:t>
      </w:r>
    </w:p>
    <w:p>
      <w:pPr>
        <w:numPr>
          <w:ilvl w:val="0"/>
          <w:numId w:val="1002"/>
        </w:numPr>
        <w:pStyle w:val="Compact"/>
      </w:pPr>
      <w:r>
        <w:rPr>
          <w:bCs/>
          <w:b/>
        </w:rPr>
        <w:t xml:space="preserve">Comparative Benchmarking:</w:t>
      </w:r>
      <w:r>
        <w:t xml:space="preserve"> </w:t>
      </w:r>
      <w:r>
        <w:t xml:space="preserve">Analysis of analogous roles within other sanctioned economies (e.g., Iran, Venezuela) to identify transferable adaptation models relevant to the Banker's context in Russia Moscow.</w:t>
      </w:r>
    </w:p>
    <w:bookmarkEnd w:id="24"/>
    <w:bookmarkStart w:id="25" w:name="expected-outcomes-and-significance"/>
    <w:p>
      <w:pPr>
        <w:pStyle w:val="Heading2"/>
      </w:pPr>
      <w:r>
        <w:t xml:space="preserve">5. Expected Outcomes and Significance</w:t>
      </w:r>
    </w:p>
    <w:p>
      <w:pPr>
        <w:pStyle w:val="FirstParagraph"/>
      </w:pPr>
      <w:r>
        <w:t xml:space="preserve">This research will deliver a robust empirical analysis of the contemporary Banker's role within Russia Moscow. Key expected outcomes include:</w:t>
      </w:r>
    </w:p>
    <w:p>
      <w:pPr>
        <w:numPr>
          <w:ilvl w:val="0"/>
          <w:numId w:val="1003"/>
        </w:numPr>
        <w:pStyle w:val="Compact"/>
      </w:pPr>
      <w:r>
        <w:t xml:space="preserve">A validated taxonomy of new core competencies required for Bankers operating in sanctioned environments.</w:t>
      </w:r>
    </w:p>
    <w:p>
      <w:pPr>
        <w:numPr>
          <w:ilvl w:val="0"/>
          <w:numId w:val="1003"/>
        </w:numPr>
        <w:pStyle w:val="Compact"/>
      </w:pPr>
      <w:r>
        <w:t xml:space="preserve">Quantitative evidence on how regulatory changes impact specific daily tasks (e.g., time spent on sanction checks, complexity of cross-border transactions).</w:t>
      </w:r>
    </w:p>
    <w:p>
      <w:pPr>
        <w:numPr>
          <w:ilvl w:val="0"/>
          <w:numId w:val="1003"/>
        </w:numPr>
        <w:pStyle w:val="Compact"/>
      </w:pPr>
      <w:r>
        <w:t xml:space="preserve">A culturally contextualized model for effective client engagement strategies specific to Moscow's business climate, moving beyond generic "relationship banking" models.</w:t>
      </w:r>
    </w:p>
    <w:p>
      <w:pPr>
        <w:pStyle w:val="FirstParagraph"/>
      </w:pPr>
      <w:r>
        <w:t xml:space="preserve">The significance of this study is multifaceted. For financial institutions headquartered in Russia Moscow, it provides actionable data to revamp training programs and performance metrics for their Bankers. For the Central Bank of Russia (CBR), the findings can inform future regulatory guidance tailored to operational realities faced by on-ground Bankers. Crucially, it addresses a vital gap in academic literature concerning banking professionalism under extreme geopolitical pressure, offering insights relevant not only to Russian financial professionals but also to global institutions managing risk in constrained markets. Understanding how the Banker operates effectively within Moscow's unique constraints is paramount for sustaining the stability of Russia's financial system.</w:t>
      </w:r>
    </w:p>
    <w:bookmarkEnd w:id="25"/>
    <w:bookmarkStart w:id="26" w:name="ethical-considerations"/>
    <w:p>
      <w:pPr>
        <w:pStyle w:val="Heading2"/>
      </w:pPr>
      <w:r>
        <w:t xml:space="preserve">6. Ethical Considerations</w:t>
      </w:r>
    </w:p>
    <w:p>
      <w:pPr>
        <w:pStyle w:val="FirstParagraph"/>
      </w:pPr>
      <w:r>
        <w:t xml:space="preserve">Given the sensitive nature of operating under sanctions and geopolitical scrutiny, ethical rigor is paramount. All participant data will be anonymized and stored securely in compliance with Russian data protection laws (Federal Law No. 152-FZ). Informed consent will explicitly detail the research scope and potential use of findings. Participation will be strictly voluntary, with no pressure on Bankers to disclose confidential information related to ongoing transactions or client specifics. The research team comprises members with extensive experience navigating business environments in Russia Moscow, ensuring cultural sensitivity and contextual understanding.</w:t>
      </w:r>
    </w:p>
    <w:bookmarkEnd w:id="26"/>
    <w:bookmarkStart w:id="27" w:name="conclusion"/>
    <w:p>
      <w:pPr>
        <w:pStyle w:val="Heading2"/>
      </w:pPr>
      <w:r>
        <w:t xml:space="preserve">7. Conclusion</w:t>
      </w:r>
    </w:p>
    <w:p>
      <w:pPr>
        <w:pStyle w:val="FirstParagraph"/>
      </w:pPr>
      <w:r>
        <w:t xml:space="preserve">The role of the Banker within Russia Moscow has entered a new era defined by necessity-driven innovation and adaptation. This research proposal directly confronts this reality through focused investigation into how the professional identity, skillset, and daily practices of the Banker are being reshaped by sanctions, technological shifts, and market imperatives specific to Moscow. By centering the experience of Moscow-based Bankers within Russia's current economic landscape, this study promises significant contributions to both practical banking operations in one of the world's most challenging financial hubs and broader theoretical understanding of professional adaptation under duress. The insights generated will be invaluable for sustaining a resilient and effective financial sector within Russia Moscow as it navigates its present and future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Modern Russia Moscow</dc:title>
  <dc:creator/>
  <cp:keywords/>
  <dcterms:created xsi:type="dcterms:W3CDTF">2025-12-10T12:12:55Z</dcterms:created>
  <dcterms:modified xsi:type="dcterms:W3CDTF">2025-12-10T12:12:55Z</dcterms:modified>
</cp:coreProperties>
</file>

<file path=docProps/custom.xml><?xml version="1.0" encoding="utf-8"?>
<Properties xmlns="http://schemas.openxmlformats.org/officeDocument/2006/custom-properties" xmlns:vt="http://schemas.openxmlformats.org/officeDocument/2006/docPropsVTypes"/>
</file>