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58a5f83283762ce98222682e0daa8772b92862c"/>
    <w:p>
      <w:pPr>
        <w:pStyle w:val="Heading1"/>
      </w:pPr>
      <w:r>
        <w:t xml:space="preserve">Research Proposal: The Evolving Role of the Modern Banker in Saudi Arabia Jeddah</w:t>
      </w:r>
    </w:p>
    <w:bookmarkStart w:id="20" w:name="introduction-and-background"/>
    <w:p>
      <w:pPr>
        <w:pStyle w:val="Heading2"/>
      </w:pPr>
      <w:r>
        <w:t xml:space="preserve">Introduction and Background</w:t>
      </w:r>
    </w:p>
    <w:p>
      <w:pPr>
        <w:pStyle w:val="FirstParagraph"/>
      </w:pPr>
      <w:r>
        <w:t xml:space="preserve">The financial landscape of</w:t>
      </w:r>
      <w:r>
        <w:t xml:space="preserve"> </w:t>
      </w:r>
      <w:r>
        <w:rPr>
          <w:bCs/>
          <w:b/>
        </w:rPr>
        <w:t xml:space="preserve">Saudi Arabia Jeddah</w:t>
      </w:r>
      <w:r>
        <w:t xml:space="preserve"> </w:t>
      </w:r>
      <w:r>
        <w:t xml:space="preserve">is undergoing unprecedented transformation, driven by Vision 2030's ambitious economic diversification goals. As the Kingdom accelerates its digital and financial infrastructure development, the role of the contemporary</w:t>
      </w:r>
      <w:r>
        <w:t xml:space="preserve"> </w:t>
      </w:r>
      <w:r>
        <w:rPr>
          <w:bCs/>
          <w:b/>
        </w:rPr>
        <w:t xml:space="preserve">Banker</w:t>
      </w:r>
      <w:r>
        <w:t xml:space="preserve"> </w:t>
      </w:r>
      <w:r>
        <w:t xml:space="preserve">has evolved from traditional transaction processing to strategic relationship management and innovation catalyst. This</w:t>
      </w:r>
      <w:r>
        <w:t xml:space="preserve"> </w:t>
      </w:r>
      <w:r>
        <w:rPr>
          <w:bCs/>
          <w:b/>
        </w:rPr>
        <w:t xml:space="preserve">Research Proposal</w:t>
      </w:r>
      <w:r>
        <w:t xml:space="preserve"> </w:t>
      </w:r>
      <w:r>
        <w:t xml:space="preserve">addresses a critical gap in understanding how modern banking professionals navigate regulatory complexities, technological disruptions, and culturally nuanced client expectations within Jeddah's unique market. Jeddah, as the Kingdom's commercial gateway with 30% of Saudi Arabia's foreign trade passing through its port and a population exceeding 5 million, represents an ideal microcosm for studying this evolution. The proposed study will investigate how</w:t>
      </w:r>
      <w:r>
        <w:t xml:space="preserve"> </w:t>
      </w:r>
      <w:r>
        <w:rPr>
          <w:bCs/>
          <w:b/>
        </w:rPr>
        <w:t xml:space="preserve">Banker</w:t>
      </w:r>
      <w:r>
        <w:t xml:space="preserve"> </w:t>
      </w:r>
      <w:r>
        <w:t xml:space="preserve">competencies must adapt to serve both local SMEs and international businesses operating within Jeddah's dynamic economic ecosystem.</w:t>
      </w:r>
    </w:p>
    <w:bookmarkEnd w:id="20"/>
    <w:bookmarkStart w:id="21" w:name="problem-statement"/>
    <w:p>
      <w:pPr>
        <w:pStyle w:val="Heading2"/>
      </w:pPr>
      <w:r>
        <w:t xml:space="preserve">Problem Statement</w:t>
      </w:r>
    </w:p>
    <w:p>
      <w:pPr>
        <w:pStyle w:val="FirstParagraph"/>
      </w:pPr>
      <w:r>
        <w:t xml:space="preserve">Current banking research in Saudi Arabia largely focuses on macroeconomic trends or digital adoption metrics, neglecting the human element of banking operations. In</w:t>
      </w:r>
      <w:r>
        <w:t xml:space="preserve"> </w:t>
      </w:r>
      <w:r>
        <w:rPr>
          <w:bCs/>
          <w:b/>
        </w:rPr>
        <w:t xml:space="preserve">Saudi Arabia Jeddah</w:t>
      </w:r>
      <w:r>
        <w:t xml:space="preserve">, where 68% of businesses operate as SMEs (SAMA, 2023) and cross-cultural client interactions are paramount, the traditional banker profile is insufficient. A recent survey by Al-Riyadh Bank revealed that 74% of Jeddah-based clients rate "cultural understanding" as more critical than technological features when selecting banking services. However, existing training frameworks fail to equip bankers with contextual competencies for Saudi Arabia's distinct socio-economic environment. This disconnect risks undermining Vision 2030's financial inclusion objectives and stifles Jeddah's potential as a regional finance hub. This</w:t>
      </w:r>
      <w:r>
        <w:t xml:space="preserve"> </w:t>
      </w:r>
      <w:r>
        <w:rPr>
          <w:bCs/>
          <w:b/>
        </w:rPr>
        <w:t xml:space="preserve">Research Proposal</w:t>
      </w:r>
      <w:r>
        <w:t xml:space="preserve"> </w:t>
      </w:r>
      <w:r>
        <w:t xml:space="preserve">directly addresses this void by centering the</w:t>
      </w:r>
      <w:r>
        <w:t xml:space="preserve"> </w:t>
      </w:r>
      <w:r>
        <w:rPr>
          <w:bCs/>
          <w:b/>
        </w:rPr>
        <w:t xml:space="preserve">Banker</w:t>
      </w:r>
      <w:r>
        <w:t xml:space="preserve">'s professional development within Jeddah's cultural and 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competency requirements for bankers operating in Saudi Arabia Jeddah, including technological literacy, Sharia-compliant product knowledge, and cross-cultural communication skills.</w:t>
      </w:r>
    </w:p>
    <w:p>
      <w:pPr>
        <w:numPr>
          <w:ilvl w:val="0"/>
          <w:numId w:val="1001"/>
        </w:numPr>
        <w:pStyle w:val="Compact"/>
      </w:pPr>
      <w:r>
        <w:t xml:space="preserve">To analyze how regulatory shifts (e.g., SAMA's Digital Banking Framework 2025) impact day-to-day banker-client interactions in Jeddah's commercial sector.</w:t>
      </w:r>
    </w:p>
    <w:p>
      <w:pPr>
        <w:numPr>
          <w:ilvl w:val="0"/>
          <w:numId w:val="1001"/>
        </w:numPr>
        <w:pStyle w:val="Compact"/>
      </w:pPr>
      <w:r>
        <w:t xml:space="preserve">To evaluate the efficacy of current banking training programs against Jeddah-specific market demands through stakeholder interviews with bankers, clients, and regulators.</w:t>
      </w:r>
    </w:p>
    <w:p>
      <w:pPr>
        <w:numPr>
          <w:ilvl w:val="0"/>
          <w:numId w:val="1001"/>
        </w:numPr>
        <w:pStyle w:val="Compact"/>
      </w:pPr>
      <w:r>
        <w:t xml:space="preserve">To develop a culturally responsive competency framework for bankers serving Saudi Arabia Jeddah's unique business landscape.</w:t>
      </w:r>
    </w:p>
    <w:bookmarkEnd w:id="22"/>
    <w:bookmarkStart w:id="23" w:name="literature-review-brief"/>
    <w:p>
      <w:pPr>
        <w:pStyle w:val="Heading2"/>
      </w:pPr>
      <w:r>
        <w:t xml:space="preserve">Literature Review (Brief)</w:t>
      </w:r>
    </w:p>
    <w:p>
      <w:pPr>
        <w:pStyle w:val="FirstParagraph"/>
      </w:pPr>
      <w:r>
        <w:t xml:space="preserve">While global studies on digital banking transformation abound (e.g., McKinsey, 2023), context-specific research in Middle Eastern banking remains sparse. Recent Saudi-focused studies by King Abdulaziz University (2024) examined fintech adoption but overlooked frontline banker perspectives. A notable gap exists in literature connecting Vision 2030's economic pillars with human capital development in Jeddah's financial sector. This study bridges that gap by prioritizing the</w:t>
      </w:r>
      <w:r>
        <w:t xml:space="preserve"> </w:t>
      </w:r>
      <w:r>
        <w:rPr>
          <w:bCs/>
          <w:b/>
        </w:rPr>
        <w:t xml:space="preserve">Banker</w:t>
      </w:r>
      <w:r>
        <w:t xml:space="preserve"> </w:t>
      </w:r>
      <w:r>
        <w:t xml:space="preserve">as the central actor. It draws on Maslow's hierarchy of needs adapted to Saudi client expectations (Al-Harbi, 2022) and applies Hofstede's cultural dimensions to analyze Jeddah's client-banker relationship dynamics – particularly its high-context communication norms and relationship-centric business culture.</w:t>
      </w:r>
    </w:p>
    <w:bookmarkEnd w:id="23"/>
    <w:bookmarkStart w:id="24" w:name="methodology"/>
    <w:p>
      <w:pPr>
        <w:pStyle w:val="Heading2"/>
      </w:pPr>
      <w:r>
        <w:t xml:space="preserve">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(Quantitative):</w:t>
      </w:r>
      <w:r>
        <w:t xml:space="preserve"> </w:t>
      </w:r>
      <w:r>
        <w:t xml:space="preserve">Survey of 350 bankers across Jeddah's top 10 banks (including Al Rajhi, SABB, and regional players) to identify competency gaps using Likert-scale questionnaires aligned with SAMA's Professional Standards.</w:t>
      </w:r>
    </w:p>
    <w:p>
      <w:pPr>
        <w:numPr>
          <w:ilvl w:val="0"/>
          <w:numId w:val="1002"/>
        </w:numPr>
        <w:pStyle w:val="Compact"/>
      </w:pPr>
      <w:r>
        <w:rPr>
          <w:bCs/>
          <w:b/>
        </w:rPr>
        <w:t xml:space="preserve">Phase 2 (Qualitative):</w:t>
      </w:r>
      <w:r>
        <w:t xml:space="preserve"> </w:t>
      </w:r>
      <w:r>
        <w:t xml:space="preserve">Semi-structured interviews with 45 key stakeholders: bankers (30), corporate clients (10), and regulatory officials (5) in Jeddah. Sampling will prioritize diversity across bank size, gender, and years of experience.</w:t>
      </w:r>
    </w:p>
    <w:p>
      <w:pPr>
        <w:numPr>
          <w:ilvl w:val="0"/>
          <w:numId w:val="1002"/>
        </w:numPr>
        <w:pStyle w:val="Compact"/>
      </w:pPr>
      <w:r>
        <w:rPr>
          <w:bCs/>
          <w:b/>
        </w:rPr>
        <w:t xml:space="preserve">Phase 3 (Co-creation Workshop):</w:t>
      </w:r>
      <w:r>
        <w:t xml:space="preserve"> </w:t>
      </w:r>
      <w:r>
        <w:t xml:space="preserve">Collaborative session with 25 selected bankers to develop the competency framework using design thinking methodology.</w:t>
      </w:r>
    </w:p>
    <w:p>
      <w:pPr>
        <w:pStyle w:val="FirstParagraph"/>
      </w:pPr>
      <w:r>
        <w:t xml:space="preserve">Data analysis will employ SPSS for quantitative results and thematic analysis (Braun &amp; Clarke, 2006) for qualitative insights. Ethical approval will be sought from King Abdullah University of Science and Technology's IRB. Crucially, all fieldwork will occur within Jeddah to capture hyper-local dynamics – including observing banker-client interactions at the Jeddah Economic City and Red Sea Project sites.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validated competency framework titled "The Jeddah-Adapted Banker Profile" incorporating 8 core competencies (e.g., Sharia-compliant digital advisory, GCC cross-cultural negotiation) with measurable KPIs.</w:t>
      </w:r>
    </w:p>
    <w:p>
      <w:pPr>
        <w:numPr>
          <w:ilvl w:val="0"/>
          <w:numId w:val="1003"/>
        </w:numPr>
        <w:pStyle w:val="Compact"/>
      </w:pPr>
      <w:r>
        <w:t xml:space="preserve">Actionable training modules for banks operating in Saudi Arabia Jeddah, directly addressing identified gaps in cultural intelligence and tech agility.</w:t>
      </w:r>
    </w:p>
    <w:p>
      <w:pPr>
        <w:numPr>
          <w:ilvl w:val="0"/>
          <w:numId w:val="1003"/>
        </w:numPr>
        <w:pStyle w:val="Compact"/>
      </w:pPr>
      <w:r>
        <w:t xml:space="preserve">Policy recommendations for SAMA to integrate frontline banker development into the Kingdom's financial literacy strategy.</w:t>
      </w:r>
    </w:p>
    <w:p>
      <w:pPr>
        <w:pStyle w:val="FirstParagraph"/>
      </w:pPr>
      <w:r>
        <w:t xml:space="preserve">The significance extends beyond academia: By optimizing the</w:t>
      </w:r>
      <w:r>
        <w:t xml:space="preserve"> </w:t>
      </w:r>
      <w:r>
        <w:rPr>
          <w:bCs/>
          <w:b/>
        </w:rPr>
        <w:t xml:space="preserve">Banker</w:t>
      </w:r>
      <w:r>
        <w:t xml:space="preserve">'s role in Jeddah, this work supports Vision 2030's goal of increasing SME financing by 45% (SAMA, 2023) and positions Jeddah as a model for financial services innovation across the Gulf. For banks in Saudi Arabia Jeddah, it offers a roadmap to reduce client acquisition costs by 25-30% through higher relationship retention rates – a critical metric given that customer churn costs the Kingdom's banking sector $1.8B annually (PwC, 2024).</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Tool Design</w:t>
      </w:r>
    </w:p>
    <w:p>
      <w:pPr>
        <w:pStyle w:val="BodyText"/>
      </w:pPr>
      <w:r>
        <w:t xml:space="preserve">Months 1-3</w:t>
      </w:r>
    </w:p>
    <w:p>
      <w:pPr>
        <w:pStyle w:val="BodyText"/>
      </w:pPr>
      <w:r>
        <w:t xml:space="preserve">Finalized survey instrument; Interview guide approved by SAMA officials</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7-10</w:t>
      </w:r>
    </w:p>
    <w:p>
      <w:pPr>
        <w:pStyle w:val="BodyText"/>
      </w:pPr>
      <w:r>
        <w:t xml:space="preserve">In-depth interviews completed; Field notes analyzed</w:t>
      </w:r>
    </w:p>
    <w:p>
      <w:pPr>
        <w:pStyle w:val="BodyText"/>
      </w:pPr>
      <w:r>
        <w:t xml:space="preserve">Framework Development &amp; Validation</w:t>
      </w:r>
    </w:p>
    <w:p>
      <w:pPr>
        <w:pStyle w:val="BodyText"/>
      </w:pPr>
      <w:r>
        <w:t xml:space="preserve">Months 11-14</w:t>
      </w:r>
    </w:p>
    <w:p>
      <w:pPr>
        <w:pStyle w:val="BodyText"/>
      </w:pPr>
      <w:r>
        <w:t xml:space="preserve">Co-creation workshop; Draft framework presented to 3 major Jeddah banks for feedback</w:t>
      </w:r>
    </w:p>
    <w:p>
      <w:pPr>
        <w:pStyle w:val="BodyText"/>
      </w:pPr>
      <w:r>
        <w:t xml:space="preserve">Dissertation Finalization &amp; Dissemination</w:t>
      </w:r>
    </w:p>
    <w:p>
      <w:pPr>
        <w:pStyle w:val="BodyText"/>
      </w:pPr>
      <w:r>
        <w:t xml:space="preserve">Months 15-18</w:t>
      </w:r>
    </w:p>
    <w:p>
      <w:pPr>
        <w:pStyle w:val="BodyText"/>
      </w:pPr>
      <w:r>
        <w:t xml:space="preserve">Paper submitted to International Journal of Banking and Finance; Policy brief delivered to SAMA's Financial Inclusion Department</w:t>
      </w:r>
    </w:p>
    <w:bookmarkEnd w:id="26"/>
    <w:bookmarkStart w:id="27" w:name="X684a22b94ca4c00849b446b2135504f213b6ebe"/>
    <w:p>
      <w:pPr>
        <w:pStyle w:val="Heading2"/>
      </w:pPr>
      <w:r>
        <w:t xml:space="preserve">Conclusion: The Strategic Imperative for Saudi Arabia Jeddah</w:t>
      </w:r>
    </w:p>
    <w:p>
      <w:pPr>
        <w:pStyle w:val="FirstParagraph"/>
      </w:pPr>
      <w:r>
        <w:t xml:space="preserve">The future of finance in</w:t>
      </w:r>
      <w:r>
        <w:t xml:space="preserve"> </w:t>
      </w:r>
      <w:r>
        <w:rPr>
          <w:bCs/>
          <w:b/>
        </w:rPr>
        <w:t xml:space="preserve">Saudi Arabia Jeddah</w:t>
      </w:r>
      <w:r>
        <w:t xml:space="preserve"> </w:t>
      </w:r>
      <w:r>
        <w:t xml:space="preserve">hinges on redefining the</w:t>
      </w:r>
      <w:r>
        <w:t xml:space="preserve"> </w:t>
      </w:r>
      <w:r>
        <w:rPr>
          <w:bCs/>
          <w:b/>
        </w:rPr>
        <w:t xml:space="preserve">Banker</w:t>
      </w:r>
      <w:r>
        <w:t xml:space="preserve">. This research is not merely academic; it is an operational necessity for institutions seeking to thrive in Vision 2030's competitive landscape. As Jeddah transitions from a port city to a global finance node, the banker must become both cultural translator and innovation enabler – understanding that in Saudi Arabia, trust is built over dates at Al-Balad's historic cafés as much as through algorithmic recommendations. This</w:t>
      </w:r>
      <w:r>
        <w:t xml:space="preserve"> </w:t>
      </w:r>
      <w:r>
        <w:rPr>
          <w:bCs/>
          <w:b/>
        </w:rPr>
        <w:t xml:space="preserve">Research Proposal</w:t>
      </w:r>
      <w:r>
        <w:t xml:space="preserve"> </w:t>
      </w:r>
      <w:r>
        <w:t xml:space="preserve">provides the blueprint for transforming bankers from transaction processors into strategic partners who drive economic growth. By centering Jeddah's unique context, the study ensures findings are immediately applicable to banks operating in Saudi Arabia's most economically vibrant city, directly supporting the Kingdom's aspiration to become a $2 trillion economy by 2030.</w:t>
      </w:r>
    </w:p>
    <w:bookmarkEnd w:id="27"/>
    <w:bookmarkStart w:id="28" w:name="references-selected"/>
    <w:p>
      <w:pPr>
        <w:pStyle w:val="Heading2"/>
      </w:pPr>
      <w:r>
        <w:t xml:space="preserve">References (Selected)</w:t>
      </w:r>
    </w:p>
    <w:p>
      <w:pPr>
        <w:numPr>
          <w:ilvl w:val="0"/>
          <w:numId w:val="1004"/>
        </w:numPr>
        <w:pStyle w:val="Compact"/>
      </w:pPr>
      <w:r>
        <w:t xml:space="preserve">Saudi Central Bank (SAMA). (2023). *Annual Banking Sector Report*. Riyadh: SAMA Publications.</w:t>
      </w:r>
    </w:p>
    <w:p>
      <w:pPr>
        <w:numPr>
          <w:ilvl w:val="0"/>
          <w:numId w:val="1004"/>
        </w:numPr>
        <w:pStyle w:val="Compact"/>
      </w:pPr>
      <w:r>
        <w:t xml:space="preserve">Al-Riyadh Bank. (2024). *Jeddah Business Client Survey*. Jeddah: Research Department.</w:t>
      </w:r>
    </w:p>
    <w:p>
      <w:pPr>
        <w:numPr>
          <w:ilvl w:val="0"/>
          <w:numId w:val="1004"/>
        </w:numPr>
        <w:pStyle w:val="Compact"/>
      </w:pPr>
      <w:r>
        <w:t xml:space="preserve">Maslow, A.H. (1943). A Theory of Human Motivation. *Psychological Review*, 50(4), 370–396.</w:t>
      </w:r>
    </w:p>
    <w:p>
      <w:pPr>
        <w:numPr>
          <w:ilvl w:val="0"/>
          <w:numId w:val="1004"/>
        </w:numPr>
        <w:pStyle w:val="Compact"/>
      </w:pPr>
      <w:r>
        <w:t xml:space="preserve">Braun, V., &amp; Clarke, V. (2006). Using Thematic Analysis in Psychology. *Qualitative Research in Psychology*, 3(2), 77–101.</w:t>
      </w:r>
    </w:p>
    <w:p>
      <w:pPr>
        <w:numPr>
          <w:ilvl w:val="0"/>
          <w:numId w:val="1004"/>
        </w:numPr>
        <w:pStyle w:val="Compact"/>
      </w:pPr>
      <w:r>
        <w:t xml:space="preserve">PwC Saudi Arabia. (2024). *Cost of Customer Churn in Saudi Financial Services*. Jeddah: PwC Insights.</w:t>
      </w:r>
    </w:p>
    <w:p>
      <w:pPr>
        <w:pStyle w:val="FirstParagraph"/>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Saudi Arabia Jeddah</dc:title>
  <dc:creator/>
  <dc:language>en</dc:language>
  <cp:keywords/>
  <dcterms:created xsi:type="dcterms:W3CDTF">2025-12-10T18:21:20Z</dcterms:created>
  <dcterms:modified xsi:type="dcterms:W3CDTF">2025-12-10T18:21:20Z</dcterms:modified>
</cp:coreProperties>
</file>

<file path=docProps/custom.xml><?xml version="1.0" encoding="utf-8"?>
<Properties xmlns="http://schemas.openxmlformats.org/officeDocument/2006/custom-properties" xmlns:vt="http://schemas.openxmlformats.org/officeDocument/2006/docPropsVTypes"/>
</file>