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Dynamic</w:t>
      </w:r>
      <w:r>
        <w:t xml:space="preserve"> </w:t>
      </w:r>
      <w:r>
        <w:t xml:space="preserve">Financial</w:t>
      </w:r>
      <w:r>
        <w:t xml:space="preserve"> </w:t>
      </w:r>
      <w:r>
        <w:t xml:space="preserve">Ecosystem</w:t>
      </w:r>
    </w:p>
    <w:bookmarkStart w:id="29" w:name="Xd748f83d97984253d073ace728f185cb94e8f59"/>
    <w:p>
      <w:pPr>
        <w:pStyle w:val="Heading1"/>
      </w:pPr>
      <w:r>
        <w:t xml:space="preserve">Research Proposal: The Evolving Role of the Banker in South Korea Seoul's Dynamic Financial Ecosystem</w:t>
      </w:r>
    </w:p>
    <w:bookmarkStart w:id="20" w:name="abstract"/>
    <w:p>
      <w:pPr>
        <w:pStyle w:val="Heading2"/>
      </w:pPr>
      <w:r>
        <w:t xml:space="preserve">Abstract</w:t>
      </w:r>
    </w:p>
    <w:p>
      <w:pPr>
        <w:pStyle w:val="FirstParagraph"/>
      </w:pPr>
      <w:r>
        <w:t xml:space="preserve">This research proposal outlines a critical investigation into the transformative role of the modern banker within South Korea's premier financial hub, Seoul. As Seoul emerges as Asia's leading fintech and banking innovation center, this study addresses urgent gaps in understanding how traditional banking functions are redefining the professional identity and operational responsibilities of the banker. With South Korea's financial sector contributing over 15% to national GDP and Seoul housing 70% of the nation's major banks, including KB Kookmin Bank, Shinhan Bank, and Woori Bank headquarters, this Research Proposal examines unprecedented challenges driven by digital disruption, regulatory shifts (e.g., Financial Services Commission ESG mandates), and evolving customer expectations. The study will employ mixed-methods research across Seoul’s Gangnam financial district to deliver actionable insights for bankers navigating South Korea's high-stakes economic landscape.</w:t>
      </w:r>
    </w:p>
    <w:bookmarkEnd w:id="20"/>
    <w:bookmarkStart w:id="21" w:name="X77c638fd2b2954c254a2c91614763c3f5ce16eb"/>
    <w:p>
      <w:pPr>
        <w:pStyle w:val="Heading2"/>
      </w:pPr>
      <w:r>
        <w:t xml:space="preserve">1. Introduction: Banking at the Heart of Seoul's Economy</w:t>
      </w:r>
    </w:p>
    <w:p>
      <w:pPr>
        <w:pStyle w:val="FirstParagraph"/>
      </w:pPr>
      <w:r>
        <w:t xml:space="preserve">Seoul, the pulsating nerve center of South Korea’s $1.8 trillion economy, demands a reimagined understanding of the banker's role. Unlike traditional financial centers, Seoul's banking ecosystem operates in a hyper-competitive environment defined by technological acceleration (e.g., 94% mobile banking penetration) and unique cultural dynamics where "banker" implies not just financial expertise but also deep community trust and digital fluency. The current crisis of relevance among legacy bankers—amidst fintech disruptors like Toss and Naver's Viva Republica—is particularly acute in Seoul, where 60% of banking transactions now occur via apps (Bank of Korea, 2023). This Research Proposal directly confronts this reality by positioning the banker not as a relic but as the central pivot for South Korea’s financial resilience. Our focus on Seoul ensures contextual precision: from Yeouido's regulatory headquarters to Gangnam's venture capital corridors, every finding will reflect Seoul's specific operational gravity.</w:t>
      </w:r>
    </w:p>
    <w:bookmarkEnd w:id="21"/>
    <w:bookmarkStart w:id="22" w:name="Xf62057b648d0e13d025387ca541474f2924f566"/>
    <w:p>
      <w:pPr>
        <w:pStyle w:val="Heading2"/>
      </w:pPr>
      <w:r>
        <w:t xml:space="preserve">2. Literature Review: Gaps in Understanding the Modern Banker</w:t>
      </w:r>
    </w:p>
    <w:p>
      <w:pPr>
        <w:pStyle w:val="FirstParagraph"/>
      </w:pPr>
      <w:r>
        <w:t xml:space="preserve">Existing literature overwhelmingly frames banking through global frameworks (e.g., OECD reports) or focuses on macroeconomic trends, neglecting Seoul’s micro-dynamics. Studies by Lee &amp; Kim (2021) on Korean digital banking overlook the human element of the banker, while FSC policy analyses ignore frontline professional adaptation. Crucially, no research has examined how Seoul's unique "banker-customer" relationship—where 87% of households trust local bankers for financial planning (Korea Consumer Agency)—intersects with ESG compliance demands (FSC Directive 2023). This gap is critical: in South Korea Seoul, the banker’s ability to explain green financing options or AI-driven wealth tools directly impacts client retention. Our study bridges this by centering the banker's voice across Seoul's diverse banking tiers—from chaebol-affiliated institutions to fintech-integrated regional banks.</w:t>
      </w:r>
    </w:p>
    <w:bookmarkEnd w:id="22"/>
    <w:bookmarkStart w:id="23" w:name="research-objectives"/>
    <w:p>
      <w:pPr>
        <w:pStyle w:val="Heading2"/>
      </w:pPr>
      <w:r>
        <w:t xml:space="preserve">3. Research Objectives</w:t>
      </w:r>
    </w:p>
    <w:p>
      <w:pPr>
        <w:numPr>
          <w:ilvl w:val="0"/>
          <w:numId w:val="1001"/>
        </w:numPr>
        <w:pStyle w:val="Compact"/>
      </w:pPr>
      <w:r>
        <w:t xml:space="preserve">To map the evolving skill set of bankers in South Korea Seoul, identifying critical competencies (e.g., ESG analytics, blockchain literacy) absent from traditional banking curricula.</w:t>
      </w:r>
    </w:p>
    <w:p>
      <w:pPr>
        <w:numPr>
          <w:ilvl w:val="0"/>
          <w:numId w:val="1001"/>
        </w:numPr>
        <w:pStyle w:val="Compact"/>
      </w:pPr>
      <w:r>
        <w:t xml:space="preserve">To analyze how Seoul’s regulatory environment (e.g., FSC’s 2023 Data Transparency Act) reshapes the banker’s compliance and client advisory responsibilities.</w:t>
      </w:r>
    </w:p>
    <w:p>
      <w:pPr>
        <w:numPr>
          <w:ilvl w:val="0"/>
          <w:numId w:val="1001"/>
        </w:numPr>
        <w:pStyle w:val="Compact"/>
      </w:pPr>
      <w:r>
        <w:t xml:space="preserve">To assess the impact of Seoul-centric customer behaviors—such as preference for 24/7 app-based banking on face-to-face interactions—on the banker's role.</w:t>
      </w:r>
    </w:p>
    <w:p>
      <w:pPr>
        <w:numPr>
          <w:ilvl w:val="0"/>
          <w:numId w:val="1001"/>
        </w:numPr>
        <w:pStyle w:val="Compact"/>
      </w:pPr>
      <w:r>
        <w:t xml:space="preserve">To develop a framework for upskilling bankers that aligns with South Korea’s "Digital New Deal" and Seoul’s aspiration to become a global fintech capital by 2030.</w:t>
      </w:r>
    </w:p>
    <w:bookmarkEnd w:id="23"/>
    <w:bookmarkStart w:id="24" w:name="Xa010551cc2b276ec0a9ea7a308df02c903bda4c"/>
    <w:p>
      <w:pPr>
        <w:pStyle w:val="Heading2"/>
      </w:pPr>
      <w:r>
        <w:t xml:space="preserve">4. Methodology: Contextualizing the Seoul Banker</w:t>
      </w:r>
    </w:p>
    <w:p>
      <w:pPr>
        <w:pStyle w:val="FirstParagraph"/>
      </w:pPr>
      <w:r>
        <w:t xml:space="preserve">This mixed-methods study employs three interconnected approaches, all anchored in Seoul:</w:t>
      </w:r>
    </w:p>
    <w:p>
      <w:pPr>
        <w:numPr>
          <w:ilvl w:val="0"/>
          <w:numId w:val="1002"/>
        </w:numPr>
        <w:pStyle w:val="Compact"/>
      </w:pPr>
      <w:r>
        <w:rPr>
          <w:bCs/>
          <w:b/>
        </w:rPr>
        <w:t xml:space="preserve">Quantitative Survey (N=300):</w:t>
      </w:r>
      <w:r>
        <w:t xml:space="preserve"> </w:t>
      </w:r>
      <w:r>
        <w:t xml:space="preserve">Distributed across 15 Seoul branches of major banks (KB, Shinhan, Hana) targeting bankers with &gt;2 years’ experience. Questions will measure skill gaps, regulatory stressors, and client interaction patterns unique to Seoul’s urban density.</w:t>
      </w:r>
    </w:p>
    <w:p>
      <w:pPr>
        <w:numPr>
          <w:ilvl w:val="0"/>
          <w:numId w:val="1002"/>
        </w:numPr>
        <w:pStyle w:val="Compact"/>
      </w:pPr>
      <w:r>
        <w:rPr>
          <w:bCs/>
          <w:b/>
        </w:rPr>
        <w:t xml:space="preserve">Qualitative Interviews (30 participants):</w:t>
      </w:r>
      <w:r>
        <w:t xml:space="preserve"> </w:t>
      </w:r>
      <w:r>
        <w:t xml:space="preserve">In-depth sessions with bankers from Gangnam (high-net-worth clients), Mapo (retail-focused), and Jung-gu (traditional chaebol relationships) districts. Critical themes include cultural nuances in client trust-building and fintech integration challenges.</w:t>
      </w:r>
    </w:p>
    <w:p>
      <w:pPr>
        <w:numPr>
          <w:ilvl w:val="0"/>
          <w:numId w:val="1002"/>
        </w:numPr>
        <w:pStyle w:val="Compact"/>
      </w:pPr>
      <w:r>
        <w:rPr>
          <w:bCs/>
          <w:b/>
        </w:rPr>
        <w:t xml:space="preserve">Regulatory &amp; Market Analysis:</w:t>
      </w:r>
      <w:r>
        <w:t xml:space="preserve"> </w:t>
      </w:r>
      <w:r>
        <w:t xml:space="preserve">Cross-referencing FSC Seoul office policy documents with real-time data from Seoul Financial Markets Association to trace how regulations directly alter the banker’s daily workflow.</w:t>
      </w:r>
    </w:p>
    <w:p>
      <w:pPr>
        <w:pStyle w:val="FirstParagraph"/>
      </w:pPr>
      <w:r>
        <w:t xml:space="preserve">All fieldwork will occur in South Korea Seoul, leveraging local research partners (Seoul National University’s Financial Innovation Lab) to ensure cultural authenticity. Ethical approvals will be secured from Korean IRB committees, with anonymized data to protect sensitive banking practices.</w:t>
      </w:r>
    </w:p>
    <w:bookmarkEnd w:id="24"/>
    <w:bookmarkStart w:id="25" w:name="expected-contributions"/>
    <w:p>
      <w:pPr>
        <w:pStyle w:val="Heading2"/>
      </w:pPr>
      <w:r>
        <w:t xml:space="preserve">5. Expected Contributions</w:t>
      </w:r>
    </w:p>
    <w:p>
      <w:pPr>
        <w:pStyle w:val="FirstParagraph"/>
      </w:pPr>
      <w:r>
        <w:t xml:space="preserve">This Research Proposal delivers tangible value for South Korea Seoul:</w:t>
      </w:r>
    </w:p>
    <w:p>
      <w:pPr>
        <w:numPr>
          <w:ilvl w:val="0"/>
          <w:numId w:val="1003"/>
        </w:numPr>
        <w:pStyle w:val="Compact"/>
      </w:pPr>
      <w:r>
        <w:rPr>
          <w:bCs/>
          <w:b/>
        </w:rPr>
        <w:t xml:space="preserve">Policymakers:</w:t>
      </w:r>
      <w:r>
        <w:t xml:space="preserve"> </w:t>
      </w:r>
      <w:r>
        <w:t xml:space="preserve">FSC Seoul will gain evidence-based insights to refine ESG training programs, directly addressing the banker’s regulatory burden.</w:t>
      </w:r>
    </w:p>
    <w:p>
      <w:pPr>
        <w:numPr>
          <w:ilvl w:val="0"/>
          <w:numId w:val="1003"/>
        </w:numPr>
        <w:pStyle w:val="Compact"/>
      </w:pPr>
      <w:r>
        <w:rPr>
          <w:bCs/>
          <w:b/>
        </w:rPr>
        <w:t xml:space="preserve">Banks:</w:t>
      </w:r>
      <w:r>
        <w:t xml:space="preserve"> </w:t>
      </w:r>
      <w:r>
        <w:t xml:space="preserve">Institutions like KB Kookmin can redesign talent development using our skill-gap framework, reducing Seoul branch turnover by targeting critical competencies (e.g., sustainable finance literacy).</w:t>
      </w:r>
    </w:p>
    <w:p>
      <w:pPr>
        <w:numPr>
          <w:ilvl w:val="0"/>
          <w:numId w:val="1003"/>
        </w:numPr>
        <w:pStyle w:val="Compact"/>
      </w:pPr>
      <w:r>
        <w:rPr>
          <w:bCs/>
          <w:b/>
        </w:rPr>
        <w:t xml:space="preserve">The Banker Profession:</w:t>
      </w:r>
      <w:r>
        <w:t xml:space="preserve"> </w:t>
      </w:r>
      <w:r>
        <w:t xml:space="preserve">A practical guide for bankers in South Korea Seoul to transition from transactional roles to strategic advisors—empowering them amid AI-driven automation.</w:t>
      </w:r>
    </w:p>
    <w:p>
      <w:pPr>
        <w:numPr>
          <w:ilvl w:val="0"/>
          <w:numId w:val="1003"/>
        </w:numPr>
        <w:pStyle w:val="Compact"/>
      </w:pPr>
      <w:r>
        <w:rPr>
          <w:bCs/>
          <w:b/>
        </w:rPr>
        <w:t xml:space="preserve">Academia:</w:t>
      </w:r>
      <w:r>
        <w:t xml:space="preserve"> </w:t>
      </w:r>
      <w:r>
        <w:t xml:space="preserve">First comprehensive study of the banker’s evolving identity within a single, globally significant financial city (Seoul), setting a benchmark for urban finance research.</w:t>
      </w:r>
    </w:p>
    <w:bookmarkEnd w:id="25"/>
    <w:bookmarkStart w:id="26" w:name="timeline-budget"/>
    <w:p>
      <w:pPr>
        <w:pStyle w:val="Heading2"/>
      </w:pPr>
      <w:r>
        <w:t xml:space="preserve">6. Timeline &amp; Budget</w:t>
      </w:r>
    </w:p>
    <w:p>
      <w:pPr>
        <w:pStyle w:val="FirstParagraph"/>
      </w:pPr>
      <w:r>
        <w:t xml:space="preserve">The 18-month project will commence in Seoul Q3 2024:</w:t>
      </w:r>
    </w:p>
    <w:p>
      <w:pPr>
        <w:numPr>
          <w:ilvl w:val="0"/>
          <w:numId w:val="1004"/>
        </w:numPr>
        <w:pStyle w:val="Compact"/>
      </w:pPr>
      <w:r>
        <w:rPr>
          <w:bCs/>
          <w:b/>
        </w:rPr>
        <w:t xml:space="preserve">Months 1-3:</w:t>
      </w:r>
      <w:r>
        <w:t xml:space="preserve"> </w:t>
      </w:r>
      <w:r>
        <w:t xml:space="preserve">Literature synthesis, IRB approvals, and Seoul-based research team onboarding (Seoul recruitment partners).</w:t>
      </w:r>
    </w:p>
    <w:p>
      <w:pPr>
        <w:numPr>
          <w:ilvl w:val="0"/>
          <w:numId w:val="1004"/>
        </w:numPr>
        <w:pStyle w:val="Compact"/>
      </w:pPr>
      <w:r>
        <w:rPr>
          <w:bCs/>
          <w:b/>
        </w:rPr>
        <w:t xml:space="preserve">Months 4-9:</w:t>
      </w:r>
      <w:r>
        <w:t xml:space="preserve"> </w:t>
      </w:r>
      <w:r>
        <w:t xml:space="preserve">Data collection across Seoul districts (travel costs budgeted for Gangnam/Jeong-dong fieldwork).</w:t>
      </w:r>
    </w:p>
    <w:p>
      <w:pPr>
        <w:numPr>
          <w:ilvl w:val="0"/>
          <w:numId w:val="1004"/>
        </w:numPr>
        <w:pStyle w:val="Compact"/>
      </w:pPr>
      <w:r>
        <w:rPr>
          <w:bCs/>
          <w:b/>
        </w:rPr>
        <w:t xml:space="preserve">Months 10-15:</w:t>
      </w:r>
      <w:r>
        <w:t xml:space="preserve"> </w:t>
      </w:r>
      <w:r>
        <w:t xml:space="preserve">Data analysis with Seoul-based financial consultants.</w:t>
      </w:r>
    </w:p>
    <w:p>
      <w:pPr>
        <w:numPr>
          <w:ilvl w:val="0"/>
          <w:numId w:val="1004"/>
        </w:numPr>
        <w:pStyle w:val="Compact"/>
      </w:pPr>
      <w:r>
        <w:rPr>
          <w:bCs/>
          <w:b/>
        </w:rPr>
        <w:t xml:space="preserve">Months 16-18:</w:t>
      </w:r>
      <w:r>
        <w:t xml:space="preserve"> </w:t>
      </w:r>
      <w:r>
        <w:t xml:space="preserve">Drafting report, policy briefs for FSC Seoul, and stakeholder workshops in the city center.</w:t>
      </w:r>
    </w:p>
    <w:p>
      <w:pPr>
        <w:pStyle w:val="FirstParagraph"/>
      </w:pPr>
      <w:r>
        <w:t xml:space="preserve">Budget allocation prioritizes South Korea-specific costs: 45% for Seoul fieldwork (including interpreter fees for nuanced interviews), 30% for data analysis tools localized to Korean banking software, and 25% for dissemination at Seoul Financial Summit events.</w:t>
      </w:r>
    </w:p>
    <w:bookmarkEnd w:id="26"/>
    <w:bookmarkStart w:id="27" w:name="conclusion"/>
    <w:p>
      <w:pPr>
        <w:pStyle w:val="Heading2"/>
      </w:pPr>
      <w:r>
        <w:t xml:space="preserve">7. Conclusion</w:t>
      </w:r>
    </w:p>
    <w:p>
      <w:pPr>
        <w:pStyle w:val="FirstParagraph"/>
      </w:pPr>
      <w:r>
        <w:t xml:space="preserve">The future of finance in South Korea depends on redefining the banker’s purpose—not as a custodian of legacy systems, but as a dynamic bridge between Seoul’s digital ambition and human-centered financial trust. This Research Proposal directly confronts the systemic pressures reshaping the banker's role within South Korea Seoul's unique ecosystem, where fintech innovation and cultural expectations converge at breakneck speed. By centering Seoul as our laboratory, we generate not just academic knowledge but actionable strategies for bankers to thrive in a city that demands nothing less than transformative adaptation. The findings will position South Korea as a global exemplar of banking evolution—one where the modern banker is neither replaced nor sidelined, but fundamentally empowered.</w:t>
      </w:r>
    </w:p>
    <w:bookmarkEnd w:id="27"/>
    <w:bookmarkStart w:id="28" w:name="references-selected"/>
    <w:p>
      <w:pPr>
        <w:pStyle w:val="Heading2"/>
      </w:pPr>
      <w:r>
        <w:t xml:space="preserve">References (Selected)</w:t>
      </w:r>
    </w:p>
    <w:p>
      <w:pPr>
        <w:pStyle w:val="FirstParagraph"/>
      </w:pPr>
      <w:r>
        <w:t xml:space="preserve">Bank of Korea. (2023). *Digital Banking Survey Report*. Seoul: Financial Services Commission.</w:t>
      </w:r>
      <w:r>
        <w:br/>
      </w:r>
      <w:r>
        <w:t xml:space="preserve">Lee, J., &amp; Kim, S. (2021). *Korean Fintech Disruption*. Journal of Asian Finance, Economics and Business.</w:t>
      </w:r>
      <w:r>
        <w:br/>
      </w:r>
      <w:r>
        <w:t xml:space="preserve">Financial Services Commission (FSC), South Korea. (2023). *ESG Disclosure Framework for Banks*. Seoul: FSC Policy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South Korea Seoul's Dynamic Financial Ecosystem</dc:title>
  <dc:creator/>
  <cp:keywords/>
  <dcterms:created xsi:type="dcterms:W3CDTF">2026-07-23T21:24:51Z</dcterms:created>
  <dcterms:modified xsi:type="dcterms:W3CDTF">2026-07-23T21:24:51Z</dcterms:modified>
</cp:coreProperties>
</file>

<file path=docProps/custom.xml><?xml version="1.0" encoding="utf-8"?>
<Properties xmlns="http://schemas.openxmlformats.org/officeDocument/2006/custom-properties" xmlns:vt="http://schemas.openxmlformats.org/officeDocument/2006/docPropsVTypes"/>
</file>