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Spain</w:t>
      </w:r>
      <w:r>
        <w:t xml:space="preserve"> </w:t>
      </w:r>
      <w:r>
        <w:t xml:space="preserve">Barcelona's</w:t>
      </w:r>
      <w:r>
        <w:t xml:space="preserve"> </w:t>
      </w:r>
      <w:r>
        <w:t xml:space="preserve">Financial</w:t>
      </w:r>
      <w:r>
        <w:t xml:space="preserve"> </w:t>
      </w:r>
      <w:r>
        <w:t xml:space="preserve">Ecosystem</w:t>
      </w:r>
    </w:p>
    <w:bookmarkStart w:id="27" w:name="Xdac5867c34ac6839e644bced28e263e9ba7227a"/>
    <w:p>
      <w:pPr>
        <w:pStyle w:val="Heading1"/>
      </w:pPr>
      <w:r>
        <w:t xml:space="preserve">Research Proposal: The Evolving Role of Bankers in Spain Barcelona's Financial Ecosystem</w:t>
      </w:r>
    </w:p>
    <w:bookmarkStart w:id="20" w:name="introduction"/>
    <w:p>
      <w:pPr>
        <w:pStyle w:val="Heading2"/>
      </w:pPr>
      <w:r>
        <w:t xml:space="preserve">1. Introduction</w:t>
      </w:r>
    </w:p>
    <w:p>
      <w:pPr>
        <w:pStyle w:val="FirstParagraph"/>
      </w:pPr>
      <w:r>
        <w:t xml:space="preserve">In the dynamic financial landscape of Europe, Barcelona has emerged as a pivotal hub for banking innovation within Spain. As the second-largest city in the country and a global economic gateway to Mediterranean markets, Spain Barcelona presents a unique environment where traditional banking practices intersect with digital transformation and sustainability imperatives. This</w:t>
      </w:r>
      <w:r>
        <w:t xml:space="preserve"> </w:t>
      </w:r>
      <w:r>
        <w:rPr>
          <w:iCs/>
          <w:i/>
        </w:rPr>
        <w:t xml:space="preserve">Research Proposal</w:t>
      </w:r>
      <w:r>
        <w:t xml:space="preserve"> </w:t>
      </w:r>
      <w:r>
        <w:t xml:space="preserve">addresses a critical gap in understanding how modern</w:t>
      </w:r>
      <w:r>
        <w:t xml:space="preserve"> </w:t>
      </w:r>
      <w:r>
        <w:rPr>
          <w:bCs/>
          <w:b/>
        </w:rPr>
        <w:t xml:space="preserve">Banker</w:t>
      </w:r>
      <w:r>
        <w:t xml:space="preserve">s navigate regulatory complexities, client expectations, and technological disruption within this specific context. With Spain's financial sector contributing over 10% to national GDP and Barcelona housing major institutions like CaixaBank, BBVA, and numerous fintech startups, the role of the professional</w:t>
      </w:r>
      <w:r>
        <w:t xml:space="preserve"> </w:t>
      </w:r>
      <w:r>
        <w:rPr>
          <w:iCs/>
          <w:i/>
        </w:rPr>
        <w:t xml:space="preserve">Banker</w:t>
      </w:r>
      <w:r>
        <w:t xml:space="preserve"> </w:t>
      </w:r>
      <w:r>
        <w:t xml:space="preserve">transcends transactional services to encompass strategic advisory functions in a post-pandemic economy. This study will investigate how Barcelona-based bankers adapt their competencies amid Spain's evolving financial regulations (including the EU's PSD3 and national fintech legislation) and shifting client demands for ESG-aligned solutions.</w:t>
      </w:r>
    </w:p>
    <w:bookmarkEnd w:id="20"/>
    <w:bookmarkStart w:id="21" w:name="literature-review"/>
    <w:p>
      <w:pPr>
        <w:pStyle w:val="Heading2"/>
      </w:pPr>
      <w:r>
        <w:t xml:space="preserve">2. Literature Review</w:t>
      </w:r>
    </w:p>
    <w:p>
      <w:pPr>
        <w:pStyle w:val="FirstParagraph"/>
      </w:pPr>
      <w:r>
        <w:t xml:space="preserve">Existing scholarship on Spanish banking predominantly focuses on macroeconomic trends or Madrid-centric institutions, overlooking Barcelona's distinct ecosystem. Studies by García &amp; López (2021) highlight Spain's financial sector growth but neglect regional variations, while European Banking Authority reports emphasize digital adoption without contextualizing local challenges. Crucially, no research examines how Barcelona-based</w:t>
      </w:r>
      <w:r>
        <w:t xml:space="preserve"> </w:t>
      </w:r>
      <w:r>
        <w:rPr>
          <w:iCs/>
          <w:i/>
        </w:rPr>
        <w:t xml:space="preserve">Banker</w:t>
      </w:r>
      <w:r>
        <w:t xml:space="preserve">s reconcile traditional client relationship models with emerging demands for sustainable finance—particularly relevant as 68% of Catalan businesses now prioritize ESG criteria (Barcelona Chamber of Commerce, 2023). Recent works by Fernández (2022) on "Urban Financial Innovation" identify Barcelona's fintech density (second in Europe after London) but fail to analyze banker-client dynamics. This research bridges this gap by centering the</w:t>
      </w:r>
      <w:r>
        <w:t xml:space="preserve"> </w:t>
      </w:r>
      <w:r>
        <w:rPr>
          <w:iCs/>
          <w:i/>
        </w:rPr>
        <w:t xml:space="preserve">Banker</w:t>
      </w:r>
      <w:r>
        <w:t xml:space="preserve"> </w:t>
      </w:r>
      <w:r>
        <w:t xml:space="preserve">as the critical human element in Spain Barcelona's financial evolution, moving beyond technology-centric narratives to explore professional adaptation strategies.</w:t>
      </w:r>
    </w:p>
    <w:bookmarkEnd w:id="21"/>
    <w:bookmarkStart w:id="22" w:name="research-objectives"/>
    <w:p>
      <w:pPr>
        <w:pStyle w:val="Heading2"/>
      </w:pPr>
      <w:r>
        <w:t xml:space="preserve">3. Research Objectives</w:t>
      </w:r>
    </w:p>
    <w:p>
      <w:pPr>
        <w:numPr>
          <w:ilvl w:val="0"/>
          <w:numId w:val="1001"/>
        </w:numPr>
        <w:pStyle w:val="Compact"/>
      </w:pPr>
      <w:r>
        <w:t xml:space="preserve">To map the competency shift required of bankers operating within Spain Barcelona's regulatory and market environment (e.g., adapting to Spain's 2023 Financial Technology Law, ESG compliance mandates).</w:t>
      </w:r>
    </w:p>
    <w:p>
      <w:pPr>
        <w:numPr>
          <w:ilvl w:val="0"/>
          <w:numId w:val="1001"/>
        </w:numPr>
        <w:pStyle w:val="Compact"/>
      </w:pPr>
      <w:r>
        <w:t xml:space="preserve">To analyze how Barcelona-based bankers balance client retention with digital service innovation in a competitive market featuring both legacy banks and fintech disruptors.</w:t>
      </w:r>
    </w:p>
    <w:p>
      <w:pPr>
        <w:numPr>
          <w:ilvl w:val="0"/>
          <w:numId w:val="1001"/>
        </w:numPr>
        <w:pStyle w:val="Compact"/>
      </w:pPr>
      <w:r>
        <w:t xml:space="preserve">To evaluate the impact of Barcelona-specific factors (e.g., tourism-driven economic volatility, Catalan business culture) on banker-client relationship management.</w:t>
      </w:r>
    </w:p>
    <w:p>
      <w:pPr>
        <w:numPr>
          <w:ilvl w:val="0"/>
          <w:numId w:val="1001"/>
        </w:numPr>
        <w:pStyle w:val="Compact"/>
      </w:pPr>
      <w:r>
        <w:t xml:space="preserve">To develop evidence-based frameworks for banking education and professional development tailored to Spain Barcelona's context.</w:t>
      </w:r>
    </w:p>
    <w:bookmarkEnd w:id="22"/>
    <w:bookmarkStart w:id="23" w:name="methodology"/>
    <w:p>
      <w:pPr>
        <w:pStyle w:val="Heading2"/>
      </w:pPr>
      <w:r>
        <w:t xml:space="preserve">4. 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Quantitative Analysis (Months 1-6)</w:t>
      </w:r>
      <w:r>
        <w:t xml:space="preserve">: Survey of 350+ bankers across Barcelona-based institutions (including major banks, savings banks, and fintechs) using stratified sampling. Metrics will include competency assessment (digital literacy, ESG knowledge), client satisfaction scores, and adaptation challenges. Data will be sourced from the Bank of Spain's regional databases and Barcelona Chamber of Commerce reports.</w:t>
      </w:r>
    </w:p>
    <w:p>
      <w:pPr>
        <w:numPr>
          <w:ilvl w:val="0"/>
          <w:numId w:val="1002"/>
        </w:numPr>
        <w:pStyle w:val="Compact"/>
      </w:pPr>
      <w:r>
        <w:rPr>
          <w:bCs/>
          <w:b/>
        </w:rPr>
        <w:t xml:space="preserve">Phase 2: Qualitative Deep-Dive (Months 7-14)</w:t>
      </w:r>
      <w:r>
        <w:t xml:space="preserve">: In-depth interviews with 40 bankers (including senior relationship managers, fintech founders, and compliance officers) alongside focus groups with 15 key clients from Barcelona's SME sector. Thematic analysis will identify narratives around regulatory navigation and client trust-building.</w:t>
      </w:r>
    </w:p>
    <w:p>
      <w:pPr>
        <w:numPr>
          <w:ilvl w:val="0"/>
          <w:numId w:val="1002"/>
        </w:numPr>
        <w:pStyle w:val="Compact"/>
      </w:pPr>
      <w:r>
        <w:rPr>
          <w:bCs/>
          <w:b/>
        </w:rPr>
        <w:t xml:space="preserve">Phase 3: Comparative Case Study (Months 15-18)</w:t>
      </w:r>
      <w:r>
        <w:t xml:space="preserve">: Benchmarking Barcelona's banker adaptation against other European financial hubs (e.g., Madrid, Lisbon) using the EFMA's Financial Professional Competency Index. This will isolate Spain Barcelona-specific variables through triangulated data.</w:t>
      </w:r>
    </w:p>
    <w:p>
      <w:pPr>
        <w:pStyle w:val="FirstParagraph"/>
      </w:pPr>
      <w:r>
        <w:t xml:space="preserve">Research ethics approval will be secured from the University of Barcelona’s Ethics Board, ensuring GDPR compliance for all participant data. All analysis will adhere to Spain’s Data Protection Act (LOPDGDD) and EU research standards.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w:t>
      </w:r>
    </w:p>
    <w:p>
      <w:pPr>
        <w:numPr>
          <w:ilvl w:val="0"/>
          <w:numId w:val="1003"/>
        </w:numPr>
        <w:pStyle w:val="Compact"/>
      </w:pPr>
      <w:r>
        <w:rPr>
          <w:bCs/>
          <w:b/>
        </w:rPr>
        <w:t xml:space="preserve">Contextualized Competency Framework</w:t>
      </w:r>
      <w:r>
        <w:t xml:space="preserve">: A Barcelona-specific model defining essential skills for modern bankers (e.g., "ESG Integration Fluency," "Tourism-Economy Risk Assessment"), directly addressing Spain's 2023 banking reform priorities.</w:t>
      </w:r>
    </w:p>
    <w:p>
      <w:pPr>
        <w:numPr>
          <w:ilvl w:val="0"/>
          <w:numId w:val="1003"/>
        </w:numPr>
        <w:pStyle w:val="Compact"/>
      </w:pPr>
      <w:r>
        <w:rPr>
          <w:bCs/>
          <w:b/>
        </w:rPr>
        <w:t xml:space="preserve">Client-Centric Adaptation Toolkit</w:t>
      </w:r>
      <w:r>
        <w:t xml:space="preserve">: Practical guidelines for bankers to leverage Barcelona’s unique economic rhythms—such as managing client portfolios during peak tourism seasons or integrating Catalan cultural values into service delivery.</w:t>
      </w:r>
    </w:p>
    <w:p>
      <w:pPr>
        <w:numPr>
          <w:ilvl w:val="0"/>
          <w:numId w:val="1003"/>
        </w:numPr>
        <w:pStyle w:val="Compact"/>
      </w:pPr>
      <w:r>
        <w:rPr>
          <w:bCs/>
          <w:b/>
        </w:rPr>
        <w:t xml:space="preserve">Policy Recommendations for Spain Barcelona</w:t>
      </w:r>
      <w:r>
        <w:t xml:space="preserve">: Evidence-based proposals for financial regulators (e.g., CNMV, Banco de España) and institutions to redesign training programs, including partnerships with Barcelona’s prestigious ESCP Business School and the 4.0 Digital Banking Campus.</w:t>
      </w:r>
    </w:p>
    <w:p>
      <w:pPr>
        <w:pStyle w:val="FirstParagraph"/>
      </w:pPr>
      <w:r>
        <w:t xml:space="preserve">The significance extends beyond academia: Spain Barcelona’s banking sector employs over 200,000 professionals (Banco de España, 2023), and this research directly informs workforce development strategies amid rising competition from EU fintechs. By positioning the</w:t>
      </w:r>
      <w:r>
        <w:t xml:space="preserve"> </w:t>
      </w:r>
      <w:r>
        <w:rPr>
          <w:iCs/>
          <w:i/>
        </w:rPr>
        <w:t xml:space="preserve">Banker</w:t>
      </w:r>
      <w:r>
        <w:t xml:space="preserve"> </w:t>
      </w:r>
      <w:r>
        <w:t xml:space="preserve">as an adaptive strategic asset rather than a transactional role, findings will support Barcelona’s ambition to become Spain’s top sustainable finance hub by 2030.</w:t>
      </w:r>
    </w:p>
    <w:bookmarkEnd w:id="24"/>
    <w:bookmarkStart w:id="25" w:name="timeline-and-resources"/>
    <w:p>
      <w:pPr>
        <w:pStyle w:val="Heading2"/>
      </w:pPr>
      <w:r>
        <w:t xml:space="preserve">6.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Months 1-2</w:t>
      </w:r>
    </w:p>
    <w:p>
      <w:pPr>
        <w:pStyle w:val="BodyText"/>
      </w:pPr>
      <w:r>
        <w:t xml:space="preserve">Synthesized research gaps; validated survey instrument</w:t>
      </w:r>
    </w:p>
    <w:p>
      <w:pPr>
        <w:pStyle w:val="BodyText"/>
      </w:pPr>
      <w:r>
        <w:t xml:space="preserve">Data Collection (Quantitative)</w:t>
      </w:r>
    </w:p>
    <w:p>
      <w:pPr>
        <w:pStyle w:val="BodyText"/>
      </w:pPr>
      <w:r>
        <w:t xml:space="preserve">Months 3-6</w:t>
      </w:r>
    </w:p>
    <w:p>
      <w:pPr>
        <w:pStyle w:val="BodyText"/>
      </w:pPr>
      <w:r>
        <w:t xml:space="preserve">Data Analysis (Quantitative)</w:t>
      </w:r>
    </w:p>
    <w:p>
      <w:pPr>
        <w:pStyle w:val="BodyText"/>
      </w:pPr>
      <w:r>
        <w:t xml:space="preserve">Months 7-9</w:t>
      </w:r>
    </w:p>
    <w:p>
      <w:pPr>
        <w:pStyle w:val="BodyText"/>
      </w:pPr>
      <w:r>
        <w:t xml:space="preserve">Interviews &amp; Focus Groups</w:t>
      </w:r>
    </w:p>
    <w:p>
      <w:pPr>
        <w:pStyle w:val="BodyText"/>
      </w:pPr>
      <w:r>
        <w:t xml:space="preserve">Months 10-14</w:t>
      </w:r>
    </w:p>
    <w:p>
      <w:pPr>
        <w:pStyle w:val="BodyText"/>
      </w:pPr>
      <w:r>
        <w:t xml:space="preserve">Data Integration &amp; Framework Development</w:t>
      </w:r>
    </w:p>
    <w:p>
      <w:pPr>
        <w:pStyle w:val="BodyText"/>
      </w:pPr>
      <w:r>
        <w:t xml:space="preserve">Months 15-16</w:t>
      </w:r>
    </w:p>
    <w:p>
      <w:pPr>
        <w:pStyle w:val="BodyText"/>
      </w:pPr>
      <w:r>
        <w:t xml:space="preserve">Preliminary competency model; client adaptation toolkit draft</w:t>
      </w:r>
    </w:p>
    <w:p>
      <w:pPr>
        <w:pStyle w:val="BodyText"/>
      </w:pPr>
      <w:r>
        <w:t xml:space="preserve">Dissemination &amp; Policy Briefing</w:t>
      </w:r>
    </w:p>
    <w:p>
      <w:pPr>
        <w:pStyle w:val="BodyText"/>
      </w:pPr>
      <w:r>
        <w:t xml:space="preserve">Months 17-18</w:t>
      </w:r>
    </w:p>
    <w:bookmarkEnd w:id="25"/>
    <w:bookmarkStart w:id="26" w:name="X09d41a8f282781cca4c2d927caa485b26a95220"/>
    <w:p>
      <w:pPr>
        <w:pStyle w:val="Heading2"/>
      </w:pPr>
      <w:r>
        <w:t xml:space="preserve">7. Conclusion: The Imperative for Spain Barcelona's Banking Future</w:t>
      </w:r>
    </w:p>
    <w:p>
      <w:pPr>
        <w:pStyle w:val="FirstParagraph"/>
      </w:pPr>
      <w:r>
        <w:t xml:space="preserve">The role of the</w:t>
      </w:r>
      <w:r>
        <w:t xml:space="preserve"> </w:t>
      </w:r>
      <w:r>
        <w:rPr>
          <w:iCs/>
          <w:i/>
        </w:rPr>
        <w:t xml:space="preserve">Banker</w:t>
      </w:r>
      <w:r>
        <w:t xml:space="preserve"> </w:t>
      </w:r>
      <w:r>
        <w:t xml:space="preserve">in Spain Barcelona is undergoing a paradigm shift—no longer merely managing accounts but architecting financial resilience amid economic volatility, regulatory flux, and sustainability imperatives. This</w:t>
      </w:r>
      <w:r>
        <w:t xml:space="preserve"> </w:t>
      </w:r>
      <w:r>
        <w:rPr>
          <w:iCs/>
          <w:i/>
        </w:rPr>
        <w:t xml:space="preserve">Research Proposal</w:t>
      </w:r>
      <w:r>
        <w:t xml:space="preserve"> </w:t>
      </w:r>
      <w:r>
        <w:t xml:space="preserve">responds to an urgent need: as Barcelona positions itself as Europe’s "Green Capital of Finance," its bankers must be equipped with context-specific expertise. By grounding this investigation in Spain Barcelona’s unique cultural, economic, and regulatory fabric—not generic banking models—the study will deliver actionable insights that elevate the profession while strengthening Catalonia’s position in the global financial ecosystem. The outcomes promise not only to transform how banks operate within Spain Barcelona but also to set a benchmark for urban banking innovation across Europe. This research transcends academic inquiry; it is an investment in securing Barcelona’s future as a beacon of adaptive, human-centered finance.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Bankers in Spain Barcelona's Financial Ecosystem</dc:title>
  <dc:creator/>
  <dc:language>en</dc:language>
  <cp:keywords/>
  <dcterms:created xsi:type="dcterms:W3CDTF">2026-07-23T03:22:45Z</dcterms:created>
  <dcterms:modified xsi:type="dcterms:W3CDTF">2026-07-23T03:22:45Z</dcterms:modified>
</cp:coreProperties>
</file>

<file path=docProps/custom.xml><?xml version="1.0" encoding="utf-8"?>
<Properties xmlns="http://schemas.openxmlformats.org/officeDocument/2006/custom-properties" xmlns:vt="http://schemas.openxmlformats.org/officeDocument/2006/docPropsVTypes"/>
</file>