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Professional</w:t>
      </w:r>
      <w:r>
        <w:t xml:space="preserve"> </w:t>
      </w:r>
      <w:r>
        <w:t xml:space="preserve">Dynamics</w:t>
      </w:r>
      <w:r>
        <w:t xml:space="preserve"> </w:t>
      </w:r>
      <w:r>
        <w:t xml:space="preserve">in</w:t>
      </w:r>
      <w:r>
        <w:t xml:space="preserve"> </w:t>
      </w:r>
      <w:r>
        <w:t xml:space="preserve">Ankara,</w:t>
      </w:r>
      <w:r>
        <w:t xml:space="preserve"> </w:t>
      </w:r>
      <w:r>
        <w:t xml:space="preserve">Turkey</w:t>
      </w:r>
    </w:p>
    <w:bookmarkStart w:id="28" w:name="Xfe9f694790ca728c5dcff2ccd35ac0c735838e5"/>
    <w:p>
      <w:pPr>
        <w:pStyle w:val="Heading1"/>
      </w:pPr>
      <w:r>
        <w:t xml:space="preserve">Research Proposal: Navigating Regulatory Complexity and Market Evolution – A Study of Banking Professionals in Ankara, Turkey</w:t>
      </w:r>
    </w:p>
    <w:bookmarkStart w:id="20" w:name="i.-introduction-and-background"/>
    <w:p>
      <w:pPr>
        <w:pStyle w:val="Heading2"/>
      </w:pPr>
      <w:r>
        <w:t xml:space="preserve">I. Introduction and Background</w:t>
      </w:r>
    </w:p>
    <w:p>
      <w:pPr>
        <w:pStyle w:val="FirstParagraph"/>
      </w:pPr>
      <w:r>
        <w:t xml:space="preserve">The banking sector serves as the financial backbone of Turkey's economy, with Ankara, as the nation's capital and political center, hosting critical institutions including the Central Bank of Turkey (CBT) headquarters and numerous national commercial banks' regional offices. This strategic positioning makes Ankara a pivotal hub for financial decision-making and policy implementation. However, banking professionals operating within this environment face unique challenges stemming from rapid regulatory shifts, economic volatility, and evolving client demands. This research proposal addresses the critical gap in understanding how</w:t>
      </w:r>
      <w:r>
        <w:t xml:space="preserve"> </w:t>
      </w:r>
      <w:r>
        <w:rPr>
          <w:iCs/>
          <w:i/>
        </w:rPr>
        <w:t xml:space="preserve">Banker</w:t>
      </w:r>
      <w:r>
        <w:t xml:space="preserve"> </w:t>
      </w:r>
      <w:r>
        <w:t xml:space="preserve">roles are adapting within the Ankara context to sustain institutional resilience and drive national financial stability. The study specifically investigates the professional competencies, challenges, and strategic approaches of banking personnel navigating Turkey's complex economic landscape from its capital city.</w:t>
      </w:r>
    </w:p>
    <w:bookmarkEnd w:id="20"/>
    <w:bookmarkStart w:id="21" w:name="ii.-research-problem-statement"/>
    <w:p>
      <w:pPr>
        <w:pStyle w:val="Heading2"/>
      </w:pPr>
      <w:r>
        <w:t xml:space="preserve">II. Research Problem Statement</w:t>
      </w:r>
    </w:p>
    <w:p>
      <w:pPr>
        <w:pStyle w:val="FirstParagraph"/>
      </w:pPr>
      <w:r>
        <w:t xml:space="preserve">Turkey has experienced significant macroeconomic fluctuations over the past decade, including currency depreciation, inflationary pressures, and shifting monetary policies. While national-level studies on banking exist, there is a paucity of granular research focused specifically on how frontline</w:t>
      </w:r>
      <w:r>
        <w:t xml:space="preserve"> </w:t>
      </w:r>
      <w:r>
        <w:rPr>
          <w:iCs/>
          <w:i/>
        </w:rPr>
        <w:t xml:space="preserve">Banker</w:t>
      </w:r>
      <w:r>
        <w:t xml:space="preserve">s in Ankara—handling government accounts, corporate clients with public sector ties, and international financial operations—adapt their practices. The CBT's regulatory directives implemented from Ankara directly impact daily banking operations across the country. Understanding this localized professional adaptation is crucial for enhancing service quality, risk management efficacy, and overall economic governance within</w:t>
      </w:r>
      <w:r>
        <w:t xml:space="preserve"> </w:t>
      </w:r>
      <w:r>
        <w:rPr>
          <w:iCs/>
          <w:i/>
        </w:rPr>
        <w:t xml:space="preserve">Turkey</w:t>
      </w:r>
      <w:r>
        <w:t xml:space="preserve">. This research seeks to answer: How do</w:t>
      </w:r>
      <w:r>
        <w:t xml:space="preserve"> </w:t>
      </w:r>
      <w:r>
        <w:rPr>
          <w:iCs/>
          <w:i/>
        </w:rPr>
        <w:t xml:space="preserve">Banker</w:t>
      </w:r>
      <w:r>
        <w:t xml:space="preserve">s in Ankara dynamically respond to regulatory complexity, economic uncertainty, and technological disruption specific to Turkey's capital city environment?</w:t>
      </w:r>
    </w:p>
    <w:bookmarkEnd w:id="21"/>
    <w:bookmarkStart w:id="22" w:name="X5ad1c8ab3efd7f5e56fbe4cc1da0134c164c2ef"/>
    <w:p>
      <w:pPr>
        <w:pStyle w:val="Heading2"/>
      </w:pPr>
      <w:r>
        <w:t xml:space="preserve">III. Literature Review (Synthesis of Key Gaps)</w:t>
      </w:r>
    </w:p>
    <w:p>
      <w:pPr>
        <w:pStyle w:val="FirstParagraph"/>
      </w:pPr>
      <w:r>
        <w:t xml:space="preserve">Existing literature broadly addresses Turkish banking transformation (e.g., Öztürk &amp; Yılmaz, 2020) and digital banking trends (Kara &amp; Kılıç, 2021), but largely overlooks the *professional human element* within Ankara's unique ecosystem. Studies on central banking focus on policy formulation (CBT Reports, 2023), not operational implementation by</w:t>
      </w:r>
      <w:r>
        <w:t xml:space="preserve"> </w:t>
      </w:r>
      <w:r>
        <w:rPr>
          <w:iCs/>
          <w:i/>
        </w:rPr>
        <w:t xml:space="preserve">Banker</w:t>
      </w:r>
      <w:r>
        <w:t xml:space="preserve">s. Research in emerging markets (e.g., Sampaio et al., 2019) often generalizes across regions, failing to capture Ankara's distinct role as a governance nexus. This proposal directly addresses this gap by centering the on-the-ground experiences of</w:t>
      </w:r>
      <w:r>
        <w:t xml:space="preserve"> </w:t>
      </w:r>
      <w:r>
        <w:rPr>
          <w:iCs/>
          <w:i/>
        </w:rPr>
        <w:t xml:space="preserve">Banker</w:t>
      </w:r>
      <w:r>
        <w:t xml:space="preserve">s operating within the capital city's specific regulatory, economic, and institutional matrix—making it uniquely relevant for</w:t>
      </w:r>
      <w:r>
        <w:t xml:space="preserve"> </w:t>
      </w:r>
      <w:r>
        <w:rPr>
          <w:iCs/>
          <w:i/>
        </w:rPr>
        <w:t xml:space="preserve">Turkey Ankara</w:t>
      </w:r>
      <w:r>
        <w:t xml:space="preserve">.</w:t>
      </w:r>
    </w:p>
    <w:bookmarkEnd w:id="22"/>
    <w:bookmarkStart w:id="23" w:name="iv.-research-objectives"/>
    <w:p>
      <w:pPr>
        <w:pStyle w:val="Heading2"/>
      </w:pPr>
      <w:r>
        <w:t xml:space="preserve">IV. Research Objectives</w:t>
      </w:r>
    </w:p>
    <w:p>
      <w:pPr>
        <w:numPr>
          <w:ilvl w:val="0"/>
          <w:numId w:val="1001"/>
        </w:numPr>
        <w:pStyle w:val="Compact"/>
      </w:pPr>
      <w:r>
        <w:t xml:space="preserve">To identify the primary regulatory, economic, and technological challenges faced by banking professionals in Ankara.</w:t>
      </w:r>
    </w:p>
    <w:p>
      <w:pPr>
        <w:numPr>
          <w:ilvl w:val="0"/>
          <w:numId w:val="1001"/>
        </w:numPr>
        <w:pStyle w:val="Compact"/>
      </w:pPr>
      <w:r>
        <w:t xml:space="preserve">To analyze how Ankara-based bankers develop adaptive competencies (e.g., policy interpretation, client communication under uncertainty) to navigate Turkey's volatile financial environment.</w:t>
      </w:r>
    </w:p>
    <w:p>
      <w:pPr>
        <w:numPr>
          <w:ilvl w:val="0"/>
          <w:numId w:val="1001"/>
        </w:numPr>
        <w:pStyle w:val="Compact"/>
      </w:pPr>
      <w:r>
        <w:t xml:space="preserve">To assess the impact of Ankara's status as the political capital on banking service delivery models and professional expectations.</w:t>
      </w:r>
    </w:p>
    <w:p>
      <w:pPr>
        <w:numPr>
          <w:ilvl w:val="0"/>
          <w:numId w:val="1001"/>
        </w:numPr>
        <w:pStyle w:val="Compact"/>
      </w:pPr>
      <w:r>
        <w:t xml:space="preserve">To propose evidence-based recommendations for enhancing banker training, institutional support systems, and policy communication channels specific to Ankara’s banking sector.</w:t>
      </w:r>
    </w:p>
    <w:bookmarkEnd w:id="23"/>
    <w:bookmarkStart w:id="24" w:name="v.-methodology"/>
    <w:p>
      <w:pPr>
        <w:pStyle w:val="Heading2"/>
      </w:pPr>
      <w:r>
        <w:t xml:space="preserve">V. Methodology</w:t>
      </w:r>
    </w:p>
    <w:p>
      <w:pPr>
        <w:pStyle w:val="FirstParagraph"/>
      </w:pPr>
      <w:r>
        <w:t xml:space="preserve">This mixed-methods study employs a sequential explanatory design tailored to the Ankara context:</w:t>
      </w:r>
    </w:p>
    <w:p>
      <w:pPr>
        <w:numPr>
          <w:ilvl w:val="0"/>
          <w:numId w:val="1002"/>
        </w:numPr>
        <w:pStyle w:val="Compact"/>
      </w:pPr>
      <w:r>
        <w:rPr>
          <w:bCs/>
          <w:b/>
        </w:rPr>
        <w:t xml:space="preserve">Phase 1 (Quantitative):</w:t>
      </w:r>
      <w:r>
        <w:t xml:space="preserve"> </w:t>
      </w:r>
      <w:r>
        <w:t xml:space="preserve">A structured survey targeting 300+ banking professionals across major institutions (e.g., İş Bankası, Garanti BBVA, Halkbank regional offices) in Ankara. Questions will measure perceived challenges (scale: 1-5), adaptation strategies used, and confidence levels in navigating Turkish regulatory frameworks.</w:t>
      </w:r>
    </w:p>
    <w:p>
      <w:pPr>
        <w:numPr>
          <w:ilvl w:val="0"/>
          <w:numId w:val="1002"/>
        </w:numPr>
        <w:pStyle w:val="Compact"/>
      </w:pPr>
      <w:r>
        <w:rPr>
          <w:bCs/>
          <w:b/>
        </w:rPr>
        <w:t xml:space="preserve">Phase 2 (Qualitative):</w:t>
      </w:r>
      <w:r>
        <w:t xml:space="preserve"> </w:t>
      </w:r>
      <w:r>
        <w:t xml:space="preserve">In-depth interviews with 30 selected survey participants (including relationship managers, credit analysts, and compliance officers) to explore nuanced experiences. Focus groups will be held with Ankara-based banking association representatives to contextualize findings within the city's economic ecosystem.</w:t>
      </w:r>
    </w:p>
    <w:p>
      <w:pPr>
        <w:numPr>
          <w:ilvl w:val="0"/>
          <w:numId w:val="1002"/>
        </w:numPr>
        <w:pStyle w:val="Compact"/>
      </w:pPr>
      <w:r>
        <w:rPr>
          <w:bCs/>
          <w:b/>
        </w:rPr>
        <w:t xml:space="preserve">Data Analysis:</w:t>
      </w:r>
      <w:r>
        <w:t xml:space="preserve"> </w:t>
      </w:r>
      <w:r>
        <w:t xml:space="preserve">Quantitative data analyzed via SPSS for correlations (e.g., between bank size and adaptation strategy usage). Qualitative data subjected to thematic analysis using NVivo, focusing on recurring challenges and professional resilience narratives. All analysis will be framed through the lens of Ankara’s unique position in Turkish finance.</w:t>
      </w:r>
    </w:p>
    <w:bookmarkEnd w:id="24"/>
    <w:bookmarkStart w:id="25" w:name="vi.-expected-significance-contribution"/>
    <w:p>
      <w:pPr>
        <w:pStyle w:val="Heading2"/>
      </w:pPr>
      <w:r>
        <w:t xml:space="preserve">VI. Expected Significance &amp; Contribution</w:t>
      </w:r>
    </w:p>
    <w:p>
      <w:pPr>
        <w:pStyle w:val="FirstParagraph"/>
      </w:pPr>
      <w:r>
        <w:t xml:space="preserve">This research directly addresses a critical need for localized insights within</w:t>
      </w:r>
      <w:r>
        <w:t xml:space="preserve"> </w:t>
      </w:r>
      <w:r>
        <w:rPr>
          <w:iCs/>
          <w:i/>
        </w:rPr>
        <w:t xml:space="preserve">Turkey Ankara</w:t>
      </w:r>
      <w:r>
        <w:t xml:space="preserve">'s financial sector. Findings will provide actionable intelligence for:</w:t>
      </w:r>
    </w:p>
    <w:p>
      <w:pPr>
        <w:numPr>
          <w:ilvl w:val="0"/>
          <w:numId w:val="1003"/>
        </w:numPr>
        <w:pStyle w:val="Compact"/>
      </w:pPr>
      <w:r>
        <w:rPr>
          <w:bCs/>
          <w:b/>
        </w:rPr>
        <w:t xml:space="preserve">Banks in Ankara:</w:t>
      </w:r>
      <w:r>
        <w:t xml:space="preserve"> </w:t>
      </w:r>
      <w:r>
        <w:t xml:space="preserve">To refine professional development programs, enhancing banker capabilities specifically for Turkey's regulatory volatility.</w:t>
      </w:r>
    </w:p>
    <w:p>
      <w:pPr>
        <w:numPr>
          <w:ilvl w:val="0"/>
          <w:numId w:val="1003"/>
        </w:numPr>
        <w:pStyle w:val="Compact"/>
      </w:pPr>
      <w:r>
        <w:rPr>
          <w:bCs/>
          <w:b/>
        </w:rPr>
        <w:t xml:space="preserve">Central Bank of Turkey (CBT):</w:t>
      </w:r>
      <w:r>
        <w:t xml:space="preserve"> </w:t>
      </w:r>
      <w:r>
        <w:t xml:space="preserve">To improve communication strategies and policy implementation support mechanisms targeting frontline banking staff in the capital.</w:t>
      </w:r>
    </w:p>
    <w:p>
      <w:pPr>
        <w:numPr>
          <w:ilvl w:val="0"/>
          <w:numId w:val="1003"/>
        </w:numPr>
        <w:pStyle w:val="Compact"/>
      </w:pPr>
      <w:r>
        <w:rPr>
          <w:bCs/>
          <w:b/>
        </w:rPr>
        <w:t xml:space="preserve">Educational Institutions:</w:t>
      </w:r>
      <w:r>
        <w:t xml:space="preserve"> </w:t>
      </w:r>
      <w:r>
        <w:t xml:space="preserve">To update finance curricula to reflect the realities faced by</w:t>
      </w:r>
      <w:r>
        <w:t xml:space="preserve"> </w:t>
      </w:r>
      <w:r>
        <w:rPr>
          <w:iCs/>
          <w:i/>
        </w:rPr>
        <w:t xml:space="preserve">Banker</w:t>
      </w:r>
      <w:r>
        <w:t xml:space="preserve">s operating within Ankara's complex environment.</w:t>
      </w:r>
    </w:p>
    <w:p>
      <w:pPr>
        <w:numPr>
          <w:ilvl w:val="0"/>
          <w:numId w:val="1003"/>
        </w:numPr>
        <w:pStyle w:val="Compact"/>
      </w:pPr>
      <w:r>
        <w:rPr>
          <w:bCs/>
          <w:b/>
        </w:rPr>
        <w:t xml:space="preserve">National Policy:</w:t>
      </w:r>
      <w:r>
        <w:t xml:space="preserve"> </w:t>
      </w:r>
      <w:r>
        <w:t xml:space="preserve">Contributing data to inform Turkey's financial literacy initiatives and regulatory frameworks, particularly those impacting capital city operations.</w:t>
      </w:r>
    </w:p>
    <w:p>
      <w:pPr>
        <w:pStyle w:val="FirstParagraph"/>
      </w:pPr>
      <w:r>
        <w:t xml:space="preserve">The study positions itself as the first comprehensive examination of banking professionals' lived experience in Ankara, moving beyond macroeconomic analysis to focus on the human expertise driving financial stability within</w:t>
      </w:r>
      <w:r>
        <w:t xml:space="preserve"> </w:t>
      </w:r>
      <w:r>
        <w:rPr>
          <w:iCs/>
          <w:i/>
        </w:rPr>
        <w:t xml:space="preserve">Turkey</w:t>
      </w:r>
      <w:r>
        <w:t xml:space="preserve">'s heartland. This is not merely a study about banks—it is a study about how skilled</w:t>
      </w:r>
      <w:r>
        <w:t xml:space="preserve"> </w:t>
      </w:r>
      <w:r>
        <w:rPr>
          <w:iCs/>
          <w:i/>
        </w:rPr>
        <w:t xml:space="preserve">Banker</w:t>
      </w:r>
      <w:r>
        <w:t xml:space="preserve">s enable Turkey's financial system to function under pressure.</w:t>
      </w:r>
    </w:p>
    <w:bookmarkEnd w:id="25"/>
    <w:bookmarkStart w:id="26" w:name="vii.-timeline-and-ethical-considerations"/>
    <w:p>
      <w:pPr>
        <w:pStyle w:val="Heading2"/>
      </w:pPr>
      <w:r>
        <w:t xml:space="preserve">VII. Timeline and Ethical Considerations</w:t>
      </w:r>
    </w:p>
    <w:p>
      <w:pPr>
        <w:pStyle w:val="FirstParagraph"/>
      </w:pPr>
      <w:r>
        <w:t xml:space="preserve">The 10-month project (January–October 2025) includes:</w:t>
      </w:r>
      <w:r>
        <w:t xml:space="preserve"> </w:t>
      </w:r>
      <w:r>
        <w:t xml:space="preserve">Month 1-2: Survey design and institutional approvals in Ankara;</w:t>
      </w:r>
      <w:r>
        <w:t xml:space="preserve"> </w:t>
      </w:r>
      <w:r>
        <w:t xml:space="preserve">Month 3-4: Data collection (Ankara-based surveys);</w:t>
      </w:r>
      <w:r>
        <w:t xml:space="preserve"> </w:t>
      </w:r>
      <w:r>
        <w:t xml:space="preserve">Month 5-6: Interview execution;</w:t>
      </w:r>
      <w:r>
        <w:t xml:space="preserve"> </w:t>
      </w:r>
      <w:r>
        <w:t xml:space="preserve">Month 7-8: Mixed-methods analysis;</w:t>
      </w:r>
      <w:r>
        <w:t xml:space="preserve"> </w:t>
      </w:r>
      <w:r>
        <w:t xml:space="preserve">Month 9-10: Drafting final report, stakeholder briefings in Ankara. Ethical clearance will be obtained from the Middle East Technical University Ethics Board (Ankara), ensuring participant anonymity and voluntary consent, with data securely stored on Turkish servers per local regulations.</w:t>
      </w:r>
    </w:p>
    <w:bookmarkEnd w:id="26"/>
    <w:bookmarkStart w:id="27" w:name="viii.-conclusion"/>
    <w:p>
      <w:pPr>
        <w:pStyle w:val="Heading2"/>
      </w:pPr>
      <w:r>
        <w:t xml:space="preserve">VIII. Conclusion</w:t>
      </w:r>
    </w:p>
    <w:p>
      <w:pPr>
        <w:pStyle w:val="FirstParagraph"/>
      </w:pPr>
      <w:r>
        <w:t xml:space="preserve">In conclusion, this research proposal centers the indispensable role of the banking professional within Turkey's capital city. By rigorously examining how</w:t>
      </w:r>
      <w:r>
        <w:t xml:space="preserve"> </w:t>
      </w:r>
      <w:r>
        <w:rPr>
          <w:iCs/>
          <w:i/>
        </w:rPr>
        <w:t xml:space="preserve">Banker</w:t>
      </w:r>
      <w:r>
        <w:t xml:space="preserve">s in Ankara navigate the specific challenges inherent to their environment—from CBT policy implementation to client expectations amid economic shifts—this study delivers vital, actionable knowledge. It directly responds to Turkey's need for resilient financial leadership emanating from its political and economic epicenter. The outcomes will empower banking institutions in Ankara, support national regulatory efficiency, and ultimately strengthen the foundations of finance within</w:t>
      </w:r>
      <w:r>
        <w:t xml:space="preserve"> </w:t>
      </w:r>
      <w:r>
        <w:rPr>
          <w:iCs/>
          <w:i/>
        </w:rPr>
        <w:t xml:space="preserve">Turkey</w:t>
      </w:r>
      <w:r>
        <w:t xml:space="preserve">. This research is not just relevant—it is essential for understanding how Turkey's capital city sustains its role as the nation's financial nerve center through the expertise of its banking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Professional Dynamics in Ankara, Turkey</dc:title>
  <dc:creator/>
  <dc:language>en</dc:language>
  <cp:keywords/>
  <dcterms:created xsi:type="dcterms:W3CDTF">2026-07-23T09:59:17Z</dcterms:created>
  <dcterms:modified xsi:type="dcterms:W3CDTF">2026-07-23T09:59:17Z</dcterms:modified>
</cp:coreProperties>
</file>

<file path=docProps/custom.xml><?xml version="1.0" encoding="utf-8"?>
<Properties xmlns="http://schemas.openxmlformats.org/officeDocument/2006/custom-properties" xmlns:vt="http://schemas.openxmlformats.org/officeDocument/2006/docPropsVTypes"/>
</file>