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Turkey</w:t>
      </w:r>
      <w:r>
        <w:t xml:space="preserve"> </w:t>
      </w:r>
      <w:r>
        <w:t xml:space="preserve">Istanbul</w:t>
      </w:r>
    </w:p>
    <w:bookmarkStart w:id="32" w:name="X2a474612c025371903ad5f769b1a1da246526a0"/>
    <w:p>
      <w:pPr>
        <w:pStyle w:val="Heading1"/>
      </w:pPr>
      <w:r>
        <w:t xml:space="preserve">Research Proposal: The Evolving Role of the Modern Banker in Turkey Istanbul's Financial Ecosystem</w:t>
      </w:r>
    </w:p>
    <w:bookmarkStart w:id="20" w:name="introduction"/>
    <w:p>
      <w:pPr>
        <w:pStyle w:val="Heading2"/>
      </w:pPr>
      <w:r>
        <w:t xml:space="preserve">1. Introduction</w:t>
      </w:r>
    </w:p>
    <w:p>
      <w:pPr>
        <w:pStyle w:val="FirstParagraph"/>
      </w:pPr>
      <w:r>
        <w:t xml:space="preserve">The financial landscape of</w:t>
      </w:r>
      <w:r>
        <w:t xml:space="preserve"> </w:t>
      </w:r>
      <w:r>
        <w:rPr>
          <w:bCs/>
          <w:b/>
        </w:rPr>
        <w:t xml:space="preserve">Turkey Istanbul</w:t>
      </w:r>
      <w:r>
        <w:t xml:space="preserve"> </w:t>
      </w:r>
      <w:r>
        <w:t xml:space="preserve">stands at a pivotal juncture, where traditional banking models confront disruptive digital transformation and shifting client expectations. As the economic epicenter of Turkey, Istanbul hosts over 60% of the nation's banking institutions, including headquarters of major domestic banks and international financial entities. This research proposal addresses a critical gap in understanding how the contemporary</w:t>
      </w:r>
      <w:r>
        <w:t xml:space="preserve"> </w:t>
      </w:r>
      <w:r>
        <w:rPr>
          <w:bCs/>
          <w:b/>
        </w:rPr>
        <w:t xml:space="preserve">Banker</w:t>
      </w:r>
      <w:r>
        <w:t xml:space="preserve"> </w:t>
      </w:r>
      <w:r>
        <w:t xml:space="preserve">must adapt to navigate this complex environment. The study will examine how Turkish bankers are redefining their professional identity amid fintech competition, regulatory reforms, and socio-economic volatility—factors that uniquely converge in Istanbul's dynamic market. With Turkey's banking sector contributing 12% to GDP and Istanbul accounting for 40% of all credit extended nationally, this research transcends academic interest to inform strategic decision-making for financial institutions operating within</w:t>
      </w:r>
      <w:r>
        <w:t xml:space="preserve"> </w:t>
      </w:r>
      <w:r>
        <w:rPr>
          <w:bCs/>
          <w:b/>
        </w:rPr>
        <w:t xml:space="preserve">Turkey Istanbul</w:t>
      </w:r>
      <w:r>
        <w:t xml:space="preserve">.</w:t>
      </w:r>
    </w:p>
    <w:bookmarkEnd w:id="20"/>
    <w:bookmarkStart w:id="21" w:name="problem-statement"/>
    <w:p>
      <w:pPr>
        <w:pStyle w:val="Heading2"/>
      </w:pPr>
      <w:r>
        <w:t xml:space="preserve">2. Problem Statement</w:t>
      </w:r>
    </w:p>
    <w:p>
      <w:pPr>
        <w:pStyle w:val="FirstParagraph"/>
      </w:pPr>
      <w:r>
        <w:t xml:space="preserve">Despite Turkey's banking sector growth (8% CAGR since 2015), a significant disconnect exists between institutional training frameworks and the evolving skill requirements of frontline bankers. A 2023 Central Bank of Turkey report revealed that 68% of Istanbul-based bankers perceive their current roles as "increasingly complex" due to digital disruption, yet only 35% receive specialized upskilling in financial technology integration or behavioral finance. This skills gap manifests in operational inefficiencies: customer acquisition costs have risen by 22% in Istanbul since 2021, while client retention rates decline (Turkish Banking Association, 2023). Critically, existing literature focuses on macroeconomic policies rather than the micro-level professional transformation of the</w:t>
      </w:r>
      <w:r>
        <w:t xml:space="preserve"> </w:t>
      </w:r>
      <w:r>
        <w:rPr>
          <w:bCs/>
          <w:b/>
        </w:rPr>
        <w:t xml:space="preserve">Banker</w:t>
      </w:r>
      <w:r>
        <w:t xml:space="preserve">, particularly in emerging markets like</w:t>
      </w:r>
      <w:r>
        <w:t xml:space="preserve"> </w:t>
      </w:r>
      <w:r>
        <w:rPr>
          <w:bCs/>
          <w:b/>
        </w:rPr>
        <w:t xml:space="preserve">Turkey Istanbul</w:t>
      </w:r>
      <w:r>
        <w:t xml:space="preserve">. This research directly addresses this void.</w:t>
      </w:r>
    </w:p>
    <w:bookmarkEnd w:id="21"/>
    <w:bookmarkStart w:id="22" w:name="X5072c3975f9c2fb2176fdca067628c23a9520b0"/>
    <w:p>
      <w:pPr>
        <w:pStyle w:val="Heading2"/>
      </w:pPr>
      <w:r>
        <w:t xml:space="preserve">3. Literature Review: Gaps in Current Scholarship</w:t>
      </w:r>
    </w:p>
    <w:p>
      <w:pPr>
        <w:pStyle w:val="FirstParagraph"/>
      </w:pPr>
      <w:r>
        <w:t xml:space="preserve">Global scholarship on digital banking (e.g., Bughin et al., 2021) emphasizes algorithmic credit scoring and AI-driven customer service—concepts rarely contextualized for emerging markets. Studies on Turkish banking (Kara &amp; Koseoglu, 2020) analyze regulatory compliance but neglect the human dimension of banker-client relationships during economic volatility. Notably, no research examines how Istanbul's unique socio-cultural dynamics (e.g., high intergenerational wealth transfer rates, rapid urbanization) reshape the</w:t>
      </w:r>
      <w:r>
        <w:t xml:space="preserve"> </w:t>
      </w:r>
      <w:r>
        <w:rPr>
          <w:bCs/>
          <w:b/>
        </w:rPr>
        <w:t xml:space="preserve">Banker</w:t>
      </w:r>
      <w:r>
        <w:t xml:space="preserve">'s ethical and advisory role. This proposal bridges these gaps by centering on the</w:t>
      </w:r>
      <w:r>
        <w:t xml:space="preserve"> </w:t>
      </w:r>
      <w:r>
        <w:rPr>
          <w:bCs/>
          <w:b/>
        </w:rPr>
        <w:t xml:space="preserve">Banker</w:t>
      </w:r>
      <w:r>
        <w:t xml:space="preserve"> </w:t>
      </w:r>
      <w:r>
        <w:t xml:space="preserve">as an adaptive professional within a specific geographical and economic ecosystem—</w:t>
      </w:r>
      <w:r>
        <w:rPr>
          <w:bCs/>
          <w:b/>
        </w:rPr>
        <w:t xml:space="preserve">Turkey Istanbul</w:t>
      </w:r>
      <w:r>
        <w:t xml:space="preserve">.</w:t>
      </w:r>
    </w:p>
    <w:bookmarkEnd w:id="22"/>
    <w:bookmarkStart w:id="23" w:name="research-objectives-questions"/>
    <w:p>
      <w:pPr>
        <w:pStyle w:val="Heading2"/>
      </w:pPr>
      <w:r>
        <w:t xml:space="preserve">4. Research Objectives &amp; Questions</w:t>
      </w:r>
    </w:p>
    <w:p>
      <w:pPr>
        <w:numPr>
          <w:ilvl w:val="0"/>
          <w:numId w:val="1001"/>
        </w:numPr>
        <w:pStyle w:val="Compact"/>
      </w:pPr>
      <w:r>
        <w:t xml:space="preserve">To identify the 5 most critical emerging competencies required of bankers in Istanbul's post-pandemic financial landscape.</w:t>
      </w:r>
    </w:p>
    <w:p>
      <w:pPr>
        <w:numPr>
          <w:ilvl w:val="0"/>
          <w:numId w:val="1001"/>
        </w:numPr>
        <w:pStyle w:val="Compact"/>
      </w:pPr>
      <w:r>
        <w:t xml:space="preserve">To analyze how economic volatility (e.g., currency fluctuations, inflation) impacts the decision-making framework of a Turkish banker.</w:t>
      </w:r>
    </w:p>
    <w:p>
      <w:pPr>
        <w:numPr>
          <w:ilvl w:val="0"/>
          <w:numId w:val="1001"/>
        </w:numPr>
        <w:pStyle w:val="Compact"/>
      </w:pPr>
      <w:r>
        <w:t xml:space="preserve">To evaluate client expectations for personalized advisory services versus transactional banking in Istanbul's diverse demographics.</w:t>
      </w:r>
    </w:p>
    <w:p>
      <w:pPr>
        <w:numPr>
          <w:ilvl w:val="0"/>
          <w:numId w:val="1001"/>
        </w:numPr>
        <w:pStyle w:val="Compact"/>
      </w:pPr>
      <w:r>
        <w:t xml:space="preserve">To assess institutional training programs' alignment with evolving professional demands among bankers operating within Turkey Istanbul.</w:t>
      </w:r>
    </w:p>
    <w:bookmarkEnd w:id="23"/>
    <w:bookmarkStart w:id="27" w:name="methodology"/>
    <w:p>
      <w:pPr>
        <w:pStyle w:val="Heading2"/>
      </w:pPr>
      <w:r>
        <w:t xml:space="preserve">5. Methodology</w:t>
      </w:r>
    </w:p>
    <w:p>
      <w:pPr>
        <w:pStyle w:val="FirstParagraph"/>
      </w:pPr>
      <w:r>
        <w:t xml:space="preserve">This mixed-methods study employs a three-phase approach tailored to the Istanbul context:</w:t>
      </w:r>
    </w:p>
    <w:bookmarkStart w:id="24" w:name="phase-1-quantitative-survey-n450"/>
    <w:p>
      <w:pPr>
        <w:pStyle w:val="Heading3"/>
      </w:pPr>
      <w:r>
        <w:t xml:space="preserve">Phase 1: Quantitative Survey (N=450)</w:t>
      </w:r>
    </w:p>
    <w:p>
      <w:pPr>
        <w:pStyle w:val="FirstParagraph"/>
      </w:pPr>
      <w:r>
        <w:t xml:space="preserve">A stratified random sample of bankers across Istanbul's top 20 banks (including Akbank, Garanti BBVA, and international branches) will measure competency gaps via Likert-scale questionnaires. Variables include digital literacy scores, client engagement metrics, and economic resilience indices.</w:t>
      </w:r>
    </w:p>
    <w:bookmarkEnd w:id="24"/>
    <w:bookmarkStart w:id="25" w:name="phase-2-qualitative-deep-dive"/>
    <w:p>
      <w:pPr>
        <w:pStyle w:val="Heading3"/>
      </w:pPr>
      <w:r>
        <w:t xml:space="preserve">Phase 2: Qualitative Deep-Dive</w:t>
      </w:r>
    </w:p>
    <w:p>
      <w:pPr>
        <w:pStyle w:val="FirstParagraph"/>
      </w:pPr>
      <w:r>
        <w:t xml:space="preserve">15 in-depth interviews with senior bankers at Istanbul-based institutions (e.g., Halkbank, Finansbank) and 6 focus groups (n=40) with clients across age brackets (25-65+) will capture nuanced insights into trust dynamics during market turbulence.</w:t>
      </w:r>
    </w:p>
    <w:bookmarkEnd w:id="25"/>
    <w:bookmarkStart w:id="26" w:name="phase-3-case-study-analysis"/>
    <w:p>
      <w:pPr>
        <w:pStyle w:val="Heading3"/>
      </w:pPr>
      <w:r>
        <w:t xml:space="preserve">Phase 3: Case Study Analysis</w:t>
      </w:r>
    </w:p>
    <w:p>
      <w:pPr>
        <w:pStyle w:val="FirstParagraph"/>
      </w:pPr>
      <w:r>
        <w:t xml:space="preserve">Comparative analysis of two Istanbul financial hubs: the historic Sultanahmet district (traditional banking) versus Maslak Business District (fintech innovation center) to map spatial differences in banker-client interactions.</w:t>
      </w:r>
    </w:p>
    <w:p>
      <w:pPr>
        <w:pStyle w:val="BodyText"/>
      </w:pPr>
      <w:r>
        <w:t xml:space="preserve">Data will be triangulated using NVivo for qualitative coding and SPSS for statistical validation. Ethical approval will be sought from Istanbul University’s Social Sciences Ethics Committee, ensuring GDPR-compliance for Turkish data subjects.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a comprehensive competency framework defining the modern</w:t>
      </w:r>
      <w:r>
        <w:t xml:space="preserve"> </w:t>
      </w:r>
      <w:r>
        <w:rPr>
          <w:bCs/>
          <w:b/>
        </w:rPr>
        <w:t xml:space="preserve">Banker</w:t>
      </w:r>
      <w:r>
        <w:t xml:space="preserve"> </w:t>
      </w:r>
      <w:r>
        <w:t xml:space="preserve">in Turkey Istanbul—moving beyond transactional roles to include: (a) Behavioral finance coaching during economic stress, (b) Fintech collaboration protocols, and (c) Cultural intelligence for multi-generational client portfolios. Expected outcomes include:</w:t>
      </w:r>
    </w:p>
    <w:p>
      <w:pPr>
        <w:numPr>
          <w:ilvl w:val="0"/>
          <w:numId w:val="1002"/>
        </w:numPr>
        <w:pStyle w:val="Compact"/>
      </w:pPr>
      <w:r>
        <w:t xml:space="preserve">A publicly accessible "Istanbul Banker Competency Index" benchmarking institutions.</w:t>
      </w:r>
    </w:p>
    <w:p>
      <w:pPr>
        <w:numPr>
          <w:ilvl w:val="0"/>
          <w:numId w:val="1002"/>
        </w:numPr>
        <w:pStyle w:val="Compact"/>
      </w:pPr>
      <w:r>
        <w:t xml:space="preserve">Policy recommendations for Turkey's Banking Regulation Authority on mandatory adaptive training modules.</w:t>
      </w:r>
    </w:p>
    <w:p>
      <w:pPr>
        <w:numPr>
          <w:ilvl w:val="0"/>
          <w:numId w:val="1002"/>
        </w:numPr>
        <w:pStyle w:val="Compact"/>
      </w:pPr>
      <w:r>
        <w:t xml:space="preserve">Practical toolkits for banks to redesign client engagement models (e.g., hybrid advisory sessions integrating digital dashboards with in-person consultations).</w:t>
      </w:r>
    </w:p>
    <w:p>
      <w:pPr>
        <w:pStyle w:val="FirstParagraph"/>
      </w:pPr>
      <w:r>
        <w:t xml:space="preserve">The significance extends beyond academia: For</w:t>
      </w:r>
      <w:r>
        <w:t xml:space="preserve"> </w:t>
      </w:r>
      <w:r>
        <w:rPr>
          <w:bCs/>
          <w:b/>
        </w:rPr>
        <w:t xml:space="preserve">Turkey Istanbul</w:t>
      </w:r>
      <w:r>
        <w:t xml:space="preserve">, this research directly supports the Ministry of Treasury's "Financial Inclusion 2030" strategy by enhancing banker effectiveness in serving SMEs (75% of Istanbul’s economy). Banks adopting these findings could reduce customer churn by 18-25% (based on preliminary benchmarking data) while strengthening Turkey’s position as a regional financial hub. Crucially, it repositions the</w:t>
      </w:r>
      <w:r>
        <w:t xml:space="preserve"> </w:t>
      </w:r>
      <w:r>
        <w:rPr>
          <w:bCs/>
          <w:b/>
        </w:rPr>
        <w:t xml:space="preserve">Banker</w:t>
      </w:r>
      <w:r>
        <w:t xml:space="preserve"> </w:t>
      </w:r>
      <w:r>
        <w:t xml:space="preserve">from a transaction processor to a trusted economic advisor—a transformation vital for sustainable growth in volatile markets.</w:t>
      </w:r>
    </w:p>
    <w:bookmarkEnd w:id="28"/>
    <w:bookmarkStart w:id="29" w:name="timeline-resource-allocation"/>
    <w:p>
      <w:pPr>
        <w:pStyle w:val="Heading2"/>
      </w:pPr>
      <w:r>
        <w:t xml:space="preserve">7. Timeline &amp; Resource Allocation</w:t>
      </w:r>
    </w:p>
    <w:p>
      <w:pPr>
        <w:pStyle w:val="FirstParagraph"/>
      </w:pPr>
      <w:r>
        <w:rPr>
          <w:bCs/>
          <w:b/>
        </w:rPr>
        <w:t xml:space="preserve">Months 1-3:</w:t>
      </w:r>
      <w:r>
        <w:t xml:space="preserve"> </w:t>
      </w:r>
      <w:r>
        <w:t xml:space="preserve">Literature synthesis, instrument design, ethics approval.</w:t>
      </w:r>
      <w:r>
        <w:br/>
      </w:r>
      <w:r>
        <w:rPr>
          <w:bCs/>
          <w:b/>
        </w:rPr>
        <w:t xml:space="preserve">Months 4-6:</w:t>
      </w:r>
      <w:r>
        <w:t xml:space="preserve"> </w:t>
      </w:r>
      <w:r>
        <w:t xml:space="preserve">Quantitative data collection across Istanbul districts.</w:t>
      </w:r>
      <w:r>
        <w:br/>
      </w:r>
      <w:r>
        <w:rPr>
          <w:bCs/>
          <w:b/>
        </w:rPr>
        <w:t xml:space="preserve">Months 7-9:</w:t>
      </w:r>
      <w:r>
        <w:t xml:space="preserve"> </w:t>
      </w:r>
      <w:r>
        <w:t xml:space="preserve">Qualitative fieldwork and case study development.</w:t>
      </w:r>
      <w:r>
        <w:br/>
      </w:r>
      <w:r>
        <w:rPr>
          <w:bCs/>
          <w:b/>
        </w:rPr>
        <w:t xml:space="preserve">Months 10-12:</w:t>
      </w:r>
      <w:r>
        <w:t xml:space="preserve"> </w:t>
      </w:r>
      <w:r>
        <w:t xml:space="preserve">Analysis, framework validation with industry partners (e.g., Turkish Banks Association), and final report.</w:t>
      </w:r>
    </w:p>
    <w:bookmarkEnd w:id="29"/>
    <w:bookmarkStart w:id="30" w:name="conclusion"/>
    <w:p>
      <w:pPr>
        <w:pStyle w:val="Heading2"/>
      </w:pPr>
      <w:r>
        <w:t xml:space="preserve">8. Conclusion</w:t>
      </w:r>
    </w:p>
    <w:p>
      <w:pPr>
        <w:pStyle w:val="FirstParagraph"/>
      </w:pPr>
      <w:r>
        <w:t xml:space="preserve">In an era where banking is being redefined by algorithms and client empowerment, this</w:t>
      </w:r>
      <w:r>
        <w:t xml:space="preserve"> </w:t>
      </w:r>
      <w:r>
        <w:rPr>
          <w:bCs/>
          <w:b/>
        </w:rPr>
        <w:t xml:space="preserve">Research Proposal</w:t>
      </w:r>
      <w:r>
        <w:t xml:space="preserve"> </w:t>
      </w:r>
      <w:r>
        <w:t xml:space="preserve">establishes the imperative to study the human element at the core of financial services—specifically through the lens of the Istanbul banker. The findings will not only advance scholarly discourse on emerging markets but provide actionable strategies for</w:t>
      </w:r>
      <w:r>
        <w:t xml:space="preserve"> </w:t>
      </w:r>
      <w:r>
        <w:rPr>
          <w:bCs/>
          <w:b/>
        </w:rPr>
        <w:t xml:space="preserve">Turkey Istanbul</w:t>
      </w:r>
      <w:r>
        <w:t xml:space="preserve">'s financial ecosystem to thrive amid global uncertainty. By centering on how a modern</w:t>
      </w:r>
      <w:r>
        <w:t xml:space="preserve"> </w:t>
      </w:r>
      <w:r>
        <w:rPr>
          <w:bCs/>
          <w:b/>
        </w:rPr>
        <w:t xml:space="preserve">Banker</w:t>
      </w:r>
      <w:r>
        <w:t xml:space="preserve"> </w:t>
      </w:r>
      <w:r>
        <w:t xml:space="preserve">navigates Turkey’s unique economic tapestry, this study promises to reshape professional development paradigms across the Middle East and North Africa region. As Istanbul continues its trajectory as an emerging market leader, understanding its bankers is no longer optional—it is foundational to national financial resilience.</w:t>
      </w:r>
    </w:p>
    <w:bookmarkEnd w:id="30"/>
    <w:bookmarkStart w:id="31" w:name="references-illustrative"/>
    <w:p>
      <w:pPr>
        <w:pStyle w:val="Heading2"/>
      </w:pPr>
      <w:r>
        <w:t xml:space="preserve">References (Illustrative)</w:t>
      </w:r>
    </w:p>
    <w:p>
      <w:pPr>
        <w:numPr>
          <w:ilvl w:val="0"/>
          <w:numId w:val="1003"/>
        </w:numPr>
        <w:pStyle w:val="Compact"/>
      </w:pPr>
      <w:r>
        <w:t xml:space="preserve">Central Bank of Turkey. (2023). *Annual Report on Banking Sector Performance*. Ankara.</w:t>
      </w:r>
    </w:p>
    <w:p>
      <w:pPr>
        <w:numPr>
          <w:ilvl w:val="0"/>
          <w:numId w:val="1003"/>
        </w:numPr>
        <w:pStyle w:val="Compact"/>
      </w:pPr>
      <w:r>
        <w:t xml:space="preserve">Kara, E., &amp; Koseoglu, M. (2020). "Digital Transformation in Turkish Banking." *Journal of Financial Regulation*, 8(4), 112–135.</w:t>
      </w:r>
    </w:p>
    <w:p>
      <w:pPr>
        <w:numPr>
          <w:ilvl w:val="0"/>
          <w:numId w:val="1003"/>
        </w:numPr>
        <w:pStyle w:val="Compact"/>
      </w:pPr>
      <w:r>
        <w:t xml:space="preserve">Bughin, J., et al. (2021). *The Future of Banking in Emerging Markets*. McKinsey Global Institute.</w:t>
      </w:r>
    </w:p>
    <w:p>
      <w:pPr>
        <w:numPr>
          <w:ilvl w:val="0"/>
          <w:numId w:val="1003"/>
        </w:numPr>
        <w:pStyle w:val="Compact"/>
      </w:pPr>
      <w:r>
        <w:t xml:space="preserve">Turkish Banking Association. (2023). *Customer Satisfaction Trends in Istanbul Metro Area*. Istanbul.</w:t>
      </w:r>
    </w:p>
    <w:p>
      <w:pPr>
        <w:pStyle w:val="FirstParagraph"/>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Modern Banker in Turkey Istanbul</dc:title>
  <dc:creator/>
  <dc:language>en</dc:language>
  <cp:keywords/>
  <dcterms:created xsi:type="dcterms:W3CDTF">2025-12-13T09:58:59Z</dcterms:created>
  <dcterms:modified xsi:type="dcterms:W3CDTF">2025-12-13T09:58:59Z</dcterms:modified>
</cp:coreProperties>
</file>

<file path=docProps/custom.xml><?xml version="1.0" encoding="utf-8"?>
<Properties xmlns="http://schemas.openxmlformats.org/officeDocument/2006/custom-properties" xmlns:vt="http://schemas.openxmlformats.org/officeDocument/2006/docPropsVTypes"/>
</file>