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a0a0bd4014fc2188e0caabc09ce86d86b44f3d"/>
    <w:p>
      <w:pPr>
        <w:pStyle w:val="Heading1"/>
      </w:pPr>
      <w:r>
        <w:t xml:space="preserve">Research Proposal: The Evolving Role of the Banker in the United Arab Emirates Abu Dhabi Financial Ecosystem</w:t>
      </w:r>
    </w:p>
    <w:p>
      <w:pPr>
        <w:pStyle w:val="FirstParagraph"/>
      </w:pPr>
      <w:r>
        <w:rPr>
          <w:bCs/>
          <w:b/>
        </w:rPr>
        <w:t xml:space="preserve">Prepared for:</w:t>
      </w:r>
      <w:r>
        <w:t xml:space="preserve"> </w:t>
      </w:r>
      <w:r>
        <w:t xml:space="preserve">Abu Dhabi Global Market (ADGM) Academy and Central Bank of the United Arab Emirates (CBUAE), Abu Dhabi</w:t>
      </w:r>
    </w:p>
    <w:p>
      <w:pPr>
        <w:pStyle w:val="BodyText"/>
      </w:pPr>
      <w:r>
        <w:rPr>
          <w:bCs/>
          <w:b/>
        </w:rPr>
        <w:t xml:space="preserve">Date:</w:t>
      </w:r>
      <w:r>
        <w:t xml:space="preserve"> </w:t>
      </w:r>
      <w:r>
        <w:t xml:space="preserve">October 26, 2023</w:t>
      </w:r>
    </w:p>
    <w:bookmarkStart w:id="20" w:name="Xb6436bc004e0560043b2cb7a01b4ed24b2b0b56"/>
    <w:p>
      <w:pPr>
        <w:pStyle w:val="Heading2"/>
      </w:pPr>
      <w:r>
        <w:t xml:space="preserve">I. Introduction: The Strategic Imperative in Abu Dhabi's Banking Landscape</w:t>
      </w:r>
    </w:p>
    <w:p>
      <w:pPr>
        <w:pStyle w:val="FirstParagraph"/>
      </w:pPr>
      <w:r>
        <w:t xml:space="preserve">The United Arab Emirates Abu Dhabi has established itself as a pivotal hub for regional and international finance, driven by its ambitious economic diversification agenda under Vision 2030. Within this dynamic environment, the role of the professional</w:t>
      </w:r>
      <w:r>
        <w:t xml:space="preserve"> </w:t>
      </w:r>
      <w:r>
        <w:rPr>
          <w:iCs/>
          <w:i/>
        </w:rPr>
        <w:t xml:space="preserve">Banker</w:t>
      </w:r>
      <w:r>
        <w:t xml:space="preserve"> </w:t>
      </w:r>
      <w:r>
        <w:t xml:space="preserve">has undergone profound transformation. This Research Proposal outlines a critical study to investigate how contemporary banking professionals are adapting to technological disruption, regulatory shifts, and evolving client expectations within Abu Dhabi's unique financial ecosystem. As Abu Dhabi solidifies its position as a leading center for Islamic finance, fintech innovation, and sustainable investment in the United Arab Emirates (UAE), understanding the current capabilities, challenges, and future skill requirements of the</w:t>
      </w:r>
      <w:r>
        <w:t xml:space="preserve"> </w:t>
      </w:r>
      <w:r>
        <w:rPr>
          <w:iCs/>
          <w:i/>
        </w:rPr>
        <w:t xml:space="preserve">Banker</w:t>
      </w:r>
      <w:r>
        <w:t xml:space="preserve"> </w:t>
      </w:r>
      <w:r>
        <w:t xml:space="preserve">is not merely advantageous—it is fundamental to sustaining Abu Dhabi's financial competitiveness on a global scale. This Research Proposal directly addresses the strategic needs of stakeholders across Abu Dhabi's banking sector.</w:t>
      </w:r>
    </w:p>
    <w:bookmarkEnd w:id="20"/>
    <w:bookmarkStart w:id="21" w:name="X9c23030799f4f02c52dd2f3d7c71cd16a5fc2b6"/>
    <w:p>
      <w:pPr>
        <w:pStyle w:val="Heading2"/>
      </w:pPr>
      <w:r>
        <w:t xml:space="preserve">II. Problem Statement: Navigating Complexity in a Rapidly Evolving Sector</w:t>
      </w:r>
    </w:p>
    <w:p>
      <w:pPr>
        <w:pStyle w:val="FirstParagraph"/>
      </w:pPr>
      <w:r>
        <w:t xml:space="preserve">Abu Dhabi's banking sector, dominated by institutions such as First Gulf Bank (FGB), National Bank of Abu Dhabi (NBAD - now part of ADCB), and the burgeoning ADGM-regulated entities, faces unprecedented pressure. The rise of digital banking platforms, the integration of AI-driven analytics for client insights and risk management, and stringent regulatory requirements under CBUAE's supervisory framework are fundamentally reshaping daily operations. Simultaneously, clients demand hyper-personalized services aligned with Abu Dhabi's cultural and economic values. This confluence creates a significant gap: while the</w:t>
      </w:r>
      <w:r>
        <w:t xml:space="preserve"> </w:t>
      </w:r>
      <w:r>
        <w:rPr>
          <w:iCs/>
          <w:i/>
        </w:rPr>
        <w:t xml:space="preserve">Banker</w:t>
      </w:r>
      <w:r>
        <w:t xml:space="preserve"> </w:t>
      </w:r>
      <w:r>
        <w:t xml:space="preserve">is expected to be a technology-savvy financial advisor, compliance expert, and relationship builder simultaneously, their current training and development frameworks often lag behind this multifaceted reality. A critical lack of empirical research exists specifically focused on the *current* competencies and challenges faced by banking professionals operating within the United Arab Emirates Abu Dhabi context. This knowledge gap hinders targeted talent development initiatives essential for Abu Dhabi's financial sector resilience.</w:t>
      </w:r>
    </w:p>
    <w:bookmarkEnd w:id="21"/>
    <w:bookmarkStart w:id="22" w:name="iii.-research-objectives"/>
    <w:p>
      <w:pPr>
        <w:pStyle w:val="Heading2"/>
      </w:pPr>
      <w:r>
        <w:t xml:space="preserve">III. Research Objectives</w:t>
      </w:r>
    </w:p>
    <w:p>
      <w:pPr>
        <w:pStyle w:val="FirstParagraph"/>
      </w:pPr>
      <w:r>
        <w:t xml:space="preserve">This study aims to deliver actionable insights through the following specific objectives, directly tied to the UAE Abu Dhabi banking landscape:</w:t>
      </w:r>
    </w:p>
    <w:p>
      <w:pPr>
        <w:numPr>
          <w:ilvl w:val="0"/>
          <w:numId w:val="1001"/>
        </w:numPr>
        <w:pStyle w:val="Compact"/>
      </w:pPr>
      <w:r>
        <w:rPr>
          <w:bCs/>
          <w:b/>
        </w:rPr>
        <w:t xml:space="preserve">Objective 1:</w:t>
      </w:r>
      <w:r>
        <w:t xml:space="preserve"> </w:t>
      </w:r>
      <w:r>
        <w:t xml:space="preserve">To comprehensively map the current core competencies and emerging skill sets (e.g., data analytics, AI literacy, Islamic finance product expertise, ESG integration) required of a successful</w:t>
      </w:r>
      <w:r>
        <w:t xml:space="preserve"> </w:t>
      </w:r>
      <w:r>
        <w:rPr>
          <w:iCs/>
          <w:i/>
        </w:rPr>
        <w:t xml:space="preserve">Banker</w:t>
      </w:r>
      <w:r>
        <w:t xml:space="preserve"> </w:t>
      </w:r>
      <w:r>
        <w:t xml:space="preserve">within Abu Dhabi-based commercial and investment banks.</w:t>
      </w:r>
    </w:p>
    <w:p>
      <w:pPr>
        <w:numPr>
          <w:ilvl w:val="0"/>
          <w:numId w:val="1001"/>
        </w:numPr>
        <w:pStyle w:val="Compact"/>
      </w:pPr>
      <w:r>
        <w:rPr>
          <w:bCs/>
          <w:b/>
        </w:rPr>
        <w:t xml:space="preserve">Objective 2:</w:t>
      </w:r>
      <w:r>
        <w:t xml:space="preserve"> </w:t>
      </w:r>
      <w:r>
        <w:t xml:space="preserve">To identify the primary challenges hindering effective performance faced by banking professionals operating in the United Arab Emirates Abu Dhabi environment (e.g., regulatory complexity, digital adoption barriers, talent retention).</w:t>
      </w:r>
    </w:p>
    <w:p>
      <w:pPr>
        <w:numPr>
          <w:ilvl w:val="0"/>
          <w:numId w:val="1001"/>
        </w:numPr>
        <w:pStyle w:val="Compact"/>
      </w:pPr>
      <w:r>
        <w:rPr>
          <w:bCs/>
          <w:b/>
        </w:rPr>
        <w:t xml:space="preserve">Objective 3:</w:t>
      </w:r>
      <w:r>
        <w:t xml:space="preserve"> </w:t>
      </w:r>
      <w:r>
        <w:t xml:space="preserve">To assess the alignment between existing training programs offered by major Abu Dhabi banks (e.g., ADCB Academy, Etisalat Bank Training) and the identified competency gaps.</w:t>
      </w:r>
    </w:p>
    <w:p>
      <w:pPr>
        <w:numPr>
          <w:ilvl w:val="0"/>
          <w:numId w:val="1001"/>
        </w:numPr>
        <w:pStyle w:val="Compact"/>
      </w:pPr>
      <w:r>
        <w:rPr>
          <w:bCs/>
          <w:b/>
        </w:rPr>
        <w:t xml:space="preserve">Objective 4:</w:t>
      </w:r>
      <w:r>
        <w:t xml:space="preserve"> </w:t>
      </w:r>
      <w:r>
        <w:t xml:space="preserve">To develop a forward-looking, practical framework for the development of the modern</w:t>
      </w:r>
      <w:r>
        <w:t xml:space="preserve"> </w:t>
      </w:r>
      <w:r>
        <w:rPr>
          <w:iCs/>
          <w:i/>
        </w:rPr>
        <w:t xml:space="preserve">Banker</w:t>
      </w:r>
      <w:r>
        <w:t xml:space="preserve">, specifically designed to meet Abu Dhabi's strategic financial goals within the United Arab Emirates context.</w:t>
      </w:r>
    </w:p>
    <w:bookmarkEnd w:id="22"/>
    <w:bookmarkStart w:id="23" w:name="X1626d8756354ead18edd57246434c676e83db39"/>
    <w:p>
      <w:pPr>
        <w:pStyle w:val="Heading2"/>
      </w:pPr>
      <w:r>
        <w:t xml:space="preserve">IV. Literature Review: Contextualizing Abu Dhabi's Unique Position</w:t>
      </w:r>
    </w:p>
    <w:p>
      <w:pPr>
        <w:pStyle w:val="FirstParagraph"/>
      </w:pPr>
      <w:r>
        <w:t xml:space="preserve">Existing research on banking roles primarily focuses on global trends or specific regions like Dubai, often overlooking the distinct regulatory and market dynamics of Abu Dhabi. Studies by the International Finance Corporation (IFC) and CBUAE's own publications highlight Abu Dhabi's leadership in Islamic finance (accounting for ~40% of UAE's total) and its significant growth in green finance initiatives. However, there is a notable absence of localized research examining how these specific drivers directly impact the daily work, skill requirements, and professional development needs of the</w:t>
      </w:r>
      <w:r>
        <w:t xml:space="preserve"> </w:t>
      </w:r>
      <w:r>
        <w:rPr>
          <w:iCs/>
          <w:i/>
        </w:rPr>
        <w:t xml:space="preserve">Banker</w:t>
      </w:r>
      <w:r>
        <w:t xml:space="preserve"> </w:t>
      </w:r>
      <w:r>
        <w:t xml:space="preserve">on the ground in Abu Dhabi. This gap is critical for Abu Dhabi to leverage its unique advantages within the broader United Arab Emirates financial ecosystem. Understanding how ADGM's regulatory sandbox influences innovation adoption among frontline bankers is another under-explored area central to this proposal.</w:t>
      </w:r>
    </w:p>
    <w:bookmarkEnd w:id="23"/>
    <w:bookmarkStart w:id="24" w:name="v.-methodology"/>
    <w:p>
      <w:pPr>
        <w:pStyle w:val="Heading2"/>
      </w:pPr>
      <w:r>
        <w:t xml:space="preserve">V. Methodology</w:t>
      </w:r>
    </w:p>
    <w:p>
      <w:pPr>
        <w:pStyle w:val="FirstParagraph"/>
      </w:pPr>
      <w:r>
        <w:t xml:space="preserve">This research will employ a mixed-methods approach, ensuring robust and contextually relevant findings for the United Arab Emirates Abu Dhabi environment:</w:t>
      </w:r>
    </w:p>
    <w:p>
      <w:pPr>
        <w:numPr>
          <w:ilvl w:val="0"/>
          <w:numId w:val="1002"/>
        </w:numPr>
        <w:pStyle w:val="Compact"/>
      </w:pPr>
      <w:r>
        <w:rPr>
          <w:bCs/>
          <w:b/>
        </w:rPr>
        <w:t xml:space="preserve">Quantitative Survey:</w:t>
      </w:r>
      <w:r>
        <w:t xml:space="preserve"> </w:t>
      </w:r>
      <w:r>
        <w:t xml:space="preserve">Targeted at 300+ practicing bankers across diverse roles (relationship managers, credit analysts, digital banking specialists) in major Abu Dhabi-headquartered banks and ADGM-regulated entities. The survey will measure competency levels, perceived challenges, and training needs using validated scales.</w:t>
      </w:r>
    </w:p>
    <w:p>
      <w:pPr>
        <w:numPr>
          <w:ilvl w:val="0"/>
          <w:numId w:val="1002"/>
        </w:numPr>
        <w:pStyle w:val="Compact"/>
      </w:pPr>
      <w:r>
        <w:rPr>
          <w:bCs/>
          <w:b/>
        </w:rPr>
        <w:t xml:space="preserve">Qualitative Focus Groups:</w:t>
      </w:r>
      <w:r>
        <w:t xml:space="preserve"> </w:t>
      </w:r>
      <w:r>
        <w:t xml:space="preserve">Conducting 6-8 structured sessions (4 groups per bank type: traditional commercial, Islamic, ADGM fintech-focused) with senior bankers and HR leaders from leading Abu Dhabi institutions to delve into nuanced challenges and aspirations.</w:t>
      </w:r>
    </w:p>
    <w:p>
      <w:pPr>
        <w:numPr>
          <w:ilvl w:val="0"/>
          <w:numId w:val="1002"/>
        </w:numPr>
        <w:pStyle w:val="Compact"/>
      </w:pPr>
      <w:r>
        <w:rPr>
          <w:bCs/>
          <w:b/>
        </w:rPr>
        <w:t xml:space="preserve">Regulatory &amp; Industry Analysis:</w:t>
      </w:r>
      <w:r>
        <w:t xml:space="preserve"> </w:t>
      </w:r>
      <w:r>
        <w:t xml:space="preserve">In-depth review of CBUAE guidelines, ADGM regulations (particularly regarding fintech partnerships), and strategic documents like Abu Dhabi Economic Vision 2030 to contextualize findings within the UAE's national framework.</w:t>
      </w:r>
    </w:p>
    <w:bookmarkEnd w:id="24"/>
    <w:bookmarkStart w:id="25" w:name="Xb89dcf948099ad4611d4bc0380f12c1f813fec3"/>
    <w:p>
      <w:pPr>
        <w:pStyle w:val="Heading2"/>
      </w:pPr>
      <w:r>
        <w:t xml:space="preserve">V. Expected Outcomes and Significance for United Arab Emirates Abu Dhabi</w:t>
      </w:r>
    </w:p>
    <w:p>
      <w:pPr>
        <w:pStyle w:val="FirstParagraph"/>
      </w:pPr>
      <w:r>
        <w:t xml:space="preserve">The outcomes of this Research Proposal will provide tangible value to the financial ecosystem of Abu Dhabi:</w:t>
      </w:r>
    </w:p>
    <w:p>
      <w:pPr>
        <w:numPr>
          <w:ilvl w:val="0"/>
          <w:numId w:val="1003"/>
        </w:numPr>
        <w:pStyle w:val="Compact"/>
      </w:pPr>
      <w:r>
        <w:rPr>
          <w:bCs/>
          <w:b/>
        </w:rPr>
        <w:t xml:space="preserve">Actionable Talent Roadmap:</w:t>
      </w:r>
      <w:r>
        <w:t xml:space="preserve"> </w:t>
      </w:r>
      <w:r>
        <w:t xml:space="preserve">A detailed competency framework and recommended training pathways tailored specifically for the Abu Dhabi banking environment, directly supporting CBUAE's goals for a skilled financial workforce.</w:t>
      </w:r>
    </w:p>
    <w:p>
      <w:pPr>
        <w:numPr>
          <w:ilvl w:val="0"/>
          <w:numId w:val="1003"/>
        </w:numPr>
        <w:pStyle w:val="Compact"/>
      </w:pPr>
      <w:r>
        <w:rPr>
          <w:bCs/>
          <w:b/>
        </w:rPr>
        <w:t xml:space="preserve">Enhanced Banker Performance:</w:t>
      </w:r>
      <w:r>
        <w:t xml:space="preserve"> </w:t>
      </w:r>
      <w:r>
        <w:t xml:space="preserve">Insights to help Abu Dhabi-based banks optimize their talent management strategies, improving client service quality and operational efficiency in line with UAE national priorities.</w:t>
      </w:r>
    </w:p>
    <w:p>
      <w:pPr>
        <w:numPr>
          <w:ilvl w:val="0"/>
          <w:numId w:val="1003"/>
        </w:numPr>
        <w:pStyle w:val="Compact"/>
      </w:pPr>
      <w:r>
        <w:rPr>
          <w:bCs/>
          <w:b/>
        </w:rPr>
        <w:t xml:space="preserve">Policy Input:</w:t>
      </w:r>
      <w:r>
        <w:t xml:space="preserve"> </w:t>
      </w:r>
      <w:r>
        <w:t xml:space="preserve">Evidence-based recommendations for ADGM and CBUAE on regulatory sandboxes or initiatives that better support the development of the modern</w:t>
      </w:r>
      <w:r>
        <w:t xml:space="preserve"> </w:t>
      </w:r>
      <w:r>
        <w:rPr>
          <w:iCs/>
          <w:i/>
        </w:rPr>
        <w:t xml:space="preserve">Banker</w:t>
      </w:r>
      <w:r>
        <w:t xml:space="preserve">.</w:t>
      </w:r>
    </w:p>
    <w:p>
      <w:pPr>
        <w:numPr>
          <w:ilvl w:val="0"/>
          <w:numId w:val="1003"/>
        </w:numPr>
        <w:pStyle w:val="Compact"/>
      </w:pPr>
      <w:r>
        <w:rPr>
          <w:bCs/>
          <w:b/>
        </w:rPr>
        <w:t xml:space="preserve">Competitive Edge:</w:t>
      </w:r>
      <w:r>
        <w:t xml:space="preserve"> </w:t>
      </w:r>
      <w:r>
        <w:t xml:space="preserve">Positioning Abu Dhabi as a leader in developing world-class banking talent, a critical factor for attracting further international financial institutions to establish or expand operations within the United Arab Emirates.</w:t>
      </w:r>
    </w:p>
    <w:bookmarkEnd w:id="25"/>
    <w:bookmarkStart w:id="26" w:name="Xd33684b31f6f3e91e8a216b38e3f97844349677"/>
    <w:p>
      <w:pPr>
        <w:pStyle w:val="Heading2"/>
      </w:pPr>
      <w:r>
        <w:t xml:space="preserve">VIII. Conclusion: A Critical Investment for Abu Dhabi's Future</w:t>
      </w:r>
    </w:p>
    <w:p>
      <w:pPr>
        <w:pStyle w:val="FirstParagraph"/>
      </w:pPr>
      <w:r>
        <w:t xml:space="preserve">The role of the</w:t>
      </w:r>
      <w:r>
        <w:t xml:space="preserve"> </w:t>
      </w:r>
      <w:r>
        <w:rPr>
          <w:iCs/>
          <w:i/>
        </w:rPr>
        <w:t xml:space="preserve">Banker</w:t>
      </w:r>
      <w:r>
        <w:t xml:space="preserve"> </w:t>
      </w:r>
      <w:r>
        <w:t xml:space="preserve">is no longer confined to transaction processing; it is central to driving innovation, ensuring regulatory compliance, and building trust within the evolving United Arab Emirates Abu Dhabi financial hub. This Research Proposal addresses a critical, unmet need for localized understanding of this pivotal profession. By investing in this study, stakeholders across Abu Dhabi's banking sector—banks themselves, regulators like CBUAE and ADGM, and educational institutions—can make informed decisions to cultivate the skilled</w:t>
      </w:r>
      <w:r>
        <w:t xml:space="preserve"> </w:t>
      </w:r>
      <w:r>
        <w:rPr>
          <w:iCs/>
          <w:i/>
        </w:rPr>
        <w:t xml:space="preserve">Banker</w:t>
      </w:r>
      <w:r>
        <w:t xml:space="preserve"> </w:t>
      </w:r>
      <w:r>
        <w:t xml:space="preserve">workforce essential for Abu Dhabi to achieve its vision as a leading global financial center within the United Arab Emirates. The findings will directly contribute to securing Abu Dhabi's position at the forefront of a dynamic, digitally advanced, and sustainable financial future for the entire UAE.</w:t>
      </w:r>
    </w:p>
    <w:bookmarkEnd w:id="26"/>
    <w:bookmarkStart w:id="27" w:name="ix.-estimated-timeline-budget-summary"/>
    <w:p>
      <w:pPr>
        <w:pStyle w:val="Heading2"/>
      </w:pPr>
      <w:r>
        <w:t xml:space="preserve">IX. Estimated Timeline &amp; Budget (Summary)</w:t>
      </w:r>
    </w:p>
    <w:p>
      <w:pPr>
        <w:pStyle w:val="FirstParagraph"/>
      </w:pPr>
      <w:r>
        <w:rPr>
          <w:bCs/>
          <w:b/>
        </w:rPr>
        <w:t xml:space="preserve">Duration:</w:t>
      </w:r>
      <w:r>
        <w:t xml:space="preserve"> </w:t>
      </w:r>
      <w:r>
        <w:t xml:space="preserve">6 months (Fieldwork: Months 1-4; Analysis &amp; Report: Months 5-6)</w:t>
      </w:r>
    </w:p>
    <w:p>
      <w:pPr>
        <w:pStyle w:val="BodyText"/>
      </w:pPr>
      <w:r>
        <w:rPr>
          <w:bCs/>
          <w:b/>
        </w:rPr>
        <w:t xml:space="preserve">Budget Allocation:</w:t>
      </w:r>
      <w:r>
        <w:t xml:space="preserve"> </w:t>
      </w:r>
      <w:r>
        <w:t xml:space="preserve">Primarily for survey platform, focus group facilitation, expert consultant fees (specializing in UAE banking), data analysis software, and report production. Total estimated cost: AED 120,000.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Arab Emirates Abu Dhabi</dc:title>
  <dc:creator/>
  <dc:language>en</dc:language>
  <cp:keywords/>
  <dcterms:created xsi:type="dcterms:W3CDTF">2026-07-24T19:17:10Z</dcterms:created>
  <dcterms:modified xsi:type="dcterms:W3CDTF">2026-07-24T19:17:10Z</dcterms:modified>
</cp:coreProperties>
</file>

<file path=docProps/custom.xml><?xml version="1.0" encoding="utf-8"?>
<Properties xmlns="http://schemas.openxmlformats.org/officeDocument/2006/custom-properties" xmlns:vt="http://schemas.openxmlformats.org/officeDocument/2006/docPropsVTypes"/>
</file>