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Modern</w:t>
      </w:r>
      <w:r>
        <w:t xml:space="preserve"> </w:t>
      </w:r>
      <w:r>
        <w:t xml:space="preserve">Banker</w:t>
      </w:r>
      <w:r>
        <w:t xml:space="preserve"> </w:t>
      </w:r>
      <w:r>
        <w:t xml:space="preserve">in</w:t>
      </w:r>
      <w:r>
        <w:t xml:space="preserve"> </w:t>
      </w:r>
      <w:r>
        <w:t xml:space="preserve">Dubai's</w:t>
      </w:r>
      <w:r>
        <w:t xml:space="preserve"> </w:t>
      </w:r>
      <w:r>
        <w:t xml:space="preserve">Financial</w:t>
      </w:r>
      <w:r>
        <w:t xml:space="preserve"> </w:t>
      </w:r>
      <w:r>
        <w:t xml:space="preserve">Ecosystem</w:t>
      </w:r>
    </w:p>
    <w:bookmarkStart w:id="35" w:name="X0991bbce6776f10646087aca715905ea7a0b679"/>
    <w:p>
      <w:pPr>
        <w:pStyle w:val="Heading1"/>
      </w:pPr>
      <w:r>
        <w:t xml:space="preserve">Research Proposal: The Evolving Role of the Modern Banker in Dubai's Financial Ecosystem</w:t>
      </w:r>
    </w:p>
    <w:bookmarkStart w:id="20" w:name="introduction-and-background"/>
    <w:p>
      <w:pPr>
        <w:pStyle w:val="Heading2"/>
      </w:pPr>
      <w:r>
        <w:t xml:space="preserve">1. Introduction and Background</w:t>
      </w:r>
    </w:p>
    <w:p>
      <w:pPr>
        <w:pStyle w:val="FirstParagraph"/>
      </w:pPr>
      <w:r>
        <w:t xml:space="preserve">The United Arab Emirates, particularly Dubai, has established itself as a global financial powerhouse within the Middle East region. As a leading international business hub and host to over 50% of the UAE's banking sector, Dubai's financial ecosystem continues to expand at an unprecedented pace. With its strategic location bridging Asia, Europe, and Africa—and home to the world's largest free trade zone—the Dubai International Financial Centre (DIFC) has cemented its position as a premier financial center. Within this dynamic landscape, the role of the</w:t>
      </w:r>
      <w:r>
        <w:t xml:space="preserve"> </w:t>
      </w:r>
      <w:r>
        <w:rPr>
          <w:iCs/>
          <w:i/>
        </w:rPr>
        <w:t xml:space="preserve">Banker</w:t>
      </w:r>
      <w:r>
        <w:t xml:space="preserve"> </w:t>
      </w:r>
      <w:r>
        <w:t xml:space="preserve">has undergone significant transformation from traditional transactional roles to sophisticated advisory positions requiring cross-cultural expertise and technological agility.</w:t>
      </w:r>
    </w:p>
    <w:p>
      <w:pPr>
        <w:pStyle w:val="BodyText"/>
      </w:pPr>
      <w:r>
        <w:t xml:space="preserve">This</w:t>
      </w:r>
      <w:r>
        <w:t xml:space="preserve"> </w:t>
      </w:r>
      <w:r>
        <w:rPr>
          <w:bCs/>
          <w:b/>
        </w:rPr>
        <w:t xml:space="preserve">Research Proposal</w:t>
      </w:r>
      <w:r>
        <w:t xml:space="preserve"> </w:t>
      </w:r>
      <w:r>
        <w:t xml:space="preserve">addresses a critical gap in understanding how modern bankers operate within Dubai's unique regulatory, cultural, and market environment. While extensive literature exists on UAE banking regulations and macroeconomic trends, there is insufficient empirical research examining the evolving professional identity of the individual banker in this context. This study directly responds to the UAE Vision 2030 priority of enhancing financial sector competitiveness and will provide actionable insights for banks operating within United Arab Emirates Dubai.</w:t>
      </w:r>
    </w:p>
    <w:bookmarkEnd w:id="20"/>
    <w:bookmarkStart w:id="21" w:name="problem-statement"/>
    <w:p>
      <w:pPr>
        <w:pStyle w:val="Heading2"/>
      </w:pPr>
      <w:r>
        <w:t xml:space="preserve">2. Problem Statement</w:t>
      </w:r>
    </w:p>
    <w:p>
      <w:pPr>
        <w:pStyle w:val="FirstParagraph"/>
      </w:pPr>
      <w:r>
        <w:t xml:space="preserve">Despite Dubai's status as a global finance hub, three critical challenges impede optimal banker performance:</w:t>
      </w:r>
    </w:p>
    <w:p>
      <w:pPr>
        <w:numPr>
          <w:ilvl w:val="0"/>
          <w:numId w:val="1001"/>
        </w:numPr>
        <w:pStyle w:val="Compact"/>
      </w:pPr>
      <w:r>
        <w:rPr>
          <w:bCs/>
          <w:b/>
        </w:rPr>
        <w:t xml:space="preserve">Cultural Intelligence Gap:</w:t>
      </w:r>
      <w:r>
        <w:t xml:space="preserve"> </w:t>
      </w:r>
      <w:r>
        <w:t xml:space="preserve">73% of international bankers report difficulties navigating UAE's complex cultural dynamics (DIFC Survey, 2023), leading to client relationship friction.</w:t>
      </w:r>
    </w:p>
    <w:p>
      <w:pPr>
        <w:numPr>
          <w:ilvl w:val="0"/>
          <w:numId w:val="1001"/>
        </w:numPr>
        <w:pStyle w:val="Compact"/>
      </w:pPr>
      <w:r>
        <w:rPr>
          <w:bCs/>
          <w:b/>
        </w:rPr>
        <w:t xml:space="preserve">Technology Integration Lag:</w:t>
      </w:r>
      <w:r>
        <w:t xml:space="preserve"> </w:t>
      </w:r>
      <w:r>
        <w:t xml:space="preserve">While Dubai leads in fintech adoption (e.g., blockchain-based transactions), only 41% of bankers possess advanced digital literacy skills (UAE Central Bank Report, 2024).</w:t>
      </w:r>
    </w:p>
    <w:p>
      <w:pPr>
        <w:numPr>
          <w:ilvl w:val="0"/>
          <w:numId w:val="1001"/>
        </w:numPr>
        <w:pStyle w:val="Compact"/>
      </w:pPr>
      <w:r>
        <w:rPr>
          <w:bCs/>
          <w:b/>
        </w:rPr>
        <w:t xml:space="preserve">Skill Mismatch:</w:t>
      </w:r>
      <w:r>
        <w:t xml:space="preserve"> </w:t>
      </w:r>
      <w:r>
        <w:t xml:space="preserve">Traditional banking curricula fail to prepare graduates for Dubai's demand for Sharia-compliant solutions, ESG integration, and multi-jurisdictional compliance.</w:t>
      </w:r>
    </w:p>
    <w:p>
      <w:pPr>
        <w:pStyle w:val="FirstParagraph"/>
      </w:pPr>
      <w:r>
        <w:t xml:space="preserve">This research directly addresses these challenges by investigating how the modern</w:t>
      </w:r>
      <w:r>
        <w:t xml:space="preserve"> </w:t>
      </w:r>
      <w:r>
        <w:rPr>
          <w:iCs/>
          <w:i/>
        </w:rPr>
        <w:t xml:space="preserve">Banker</w:t>
      </w:r>
      <w:r>
        <w:t xml:space="preserve"> </w:t>
      </w:r>
      <w:r>
        <w:t xml:space="preserve">in United Arab Emirates Dubai can evolve to meet strategic market demands while maintaining ethical standards within the UAE's distinctive regulatory framework.</w:t>
      </w:r>
    </w:p>
    <w:bookmarkEnd w:id="21"/>
    <w:bookmarkStart w:id="22" w:name="research-objectives"/>
    <w:p>
      <w:pPr>
        <w:pStyle w:val="Heading2"/>
      </w:pPr>
      <w:r>
        <w:t xml:space="preserve">3. Research Objectives</w:t>
      </w:r>
    </w:p>
    <w:p>
      <w:pPr>
        <w:numPr>
          <w:ilvl w:val="0"/>
          <w:numId w:val="1002"/>
        </w:numPr>
        <w:pStyle w:val="Compact"/>
      </w:pPr>
      <w:r>
        <w:t xml:space="preserve">To map the transformation of banking roles in Dubai from 2015-2024 through comparative analysis of job descriptions, performance metrics, and skill requirements across 15 leading banks (including Emirates NBD, Mashreq, and DIFC-based institutions).</w:t>
      </w:r>
    </w:p>
    <w:p>
      <w:pPr>
        <w:numPr>
          <w:ilvl w:val="0"/>
          <w:numId w:val="1002"/>
        </w:numPr>
        <w:pStyle w:val="Compact"/>
      </w:pPr>
      <w:r>
        <w:t xml:space="preserve">To identify critical success factors for bankers operating within Dubai's multicultural client base using quantitative surveys with 300+ banking professionals.</w:t>
      </w:r>
    </w:p>
    <w:p>
      <w:pPr>
        <w:numPr>
          <w:ilvl w:val="0"/>
          <w:numId w:val="1002"/>
        </w:numPr>
        <w:pStyle w:val="Compact"/>
      </w:pPr>
      <w:r>
        <w:t xml:space="preserve">To develop a competency framework specifically tailored to the United Arab Emirates Dubai financial ecosystem, integrating Sharia principles, digital innovation, and regional market knowledge.</w:t>
      </w:r>
    </w:p>
    <w:p>
      <w:pPr>
        <w:numPr>
          <w:ilvl w:val="0"/>
          <w:numId w:val="1002"/>
        </w:numPr>
        <w:pStyle w:val="Compact"/>
      </w:pPr>
      <w:r>
        <w:t xml:space="preserve">To assess the impact of UAE Central Bank's regulatory initiatives (e.g., Digital Strategy 2025) on banker workflows and client service models.</w:t>
      </w:r>
    </w:p>
    <w:bookmarkEnd w:id="22"/>
    <w:bookmarkStart w:id="26" w:name="methodology"/>
    <w:p>
      <w:pPr>
        <w:pStyle w:val="Heading2"/>
      </w:pPr>
      <w:r>
        <w:t xml:space="preserve">4. Methodology</w:t>
      </w:r>
    </w:p>
    <w:p>
      <w:pPr>
        <w:pStyle w:val="FirstParagraph"/>
      </w:pPr>
      <w:r>
        <w:t xml:space="preserve">This mixed-methods study employs a three-phase approach:</w:t>
      </w:r>
    </w:p>
    <w:bookmarkStart w:id="23" w:name="phase-1-document-analysis-months-1-2"/>
    <w:p>
      <w:pPr>
        <w:pStyle w:val="Heading3"/>
      </w:pPr>
      <w:r>
        <w:t xml:space="preserve">Phase 1: Document Analysis (Months 1-2)</w:t>
      </w:r>
    </w:p>
    <w:p>
      <w:pPr>
        <w:pStyle w:val="FirstParagraph"/>
      </w:pPr>
      <w:r>
        <w:t xml:space="preserve">Analyzing regulatory frameworks (UAE Central Bank guidelines), bank annual reports, and industry publications to establish baseline competency requirements in United Arab Emirates Dubai.</w:t>
      </w:r>
    </w:p>
    <w:bookmarkEnd w:id="23"/>
    <w:bookmarkStart w:id="24" w:name="phase-2-quantitative-survey-months-3-4"/>
    <w:p>
      <w:pPr>
        <w:pStyle w:val="Heading3"/>
      </w:pPr>
      <w:r>
        <w:t xml:space="preserve">Phase 2: Quantitative Survey (Months 3-4)</w:t>
      </w:r>
    </w:p>
    <w:p>
      <w:pPr>
        <w:pStyle w:val="FirstParagraph"/>
      </w:pPr>
      <w:r>
        <w:t xml:space="preserve">Administering structured questionnaires to 300+ bankers across Dubai's financial institutions using stratified sampling. Key metrics include:</w:t>
      </w:r>
    </w:p>
    <w:p>
      <w:pPr>
        <w:numPr>
          <w:ilvl w:val="0"/>
          <w:numId w:val="1003"/>
        </w:numPr>
        <w:pStyle w:val="Compact"/>
      </w:pPr>
      <w:r>
        <w:t xml:space="preserve">Cultural intelligence proficiency (measured via UAE-specific scenarios)</w:t>
      </w:r>
    </w:p>
    <w:p>
      <w:pPr>
        <w:numPr>
          <w:ilvl w:val="0"/>
          <w:numId w:val="1003"/>
        </w:numPr>
        <w:pStyle w:val="Compact"/>
      </w:pPr>
      <w:r>
        <w:t xml:space="preserve">Digital tool adoption rates (AI platforms, blockchain applications)</w:t>
      </w:r>
    </w:p>
    <w:p>
      <w:pPr>
        <w:numPr>
          <w:ilvl w:val="0"/>
          <w:numId w:val="1003"/>
        </w:numPr>
        <w:pStyle w:val="Compact"/>
      </w:pPr>
      <w:r>
        <w:t xml:space="preserve">Client satisfaction correlation with banker skill sets</w:t>
      </w:r>
    </w:p>
    <w:bookmarkEnd w:id="24"/>
    <w:bookmarkStart w:id="25" w:name="Xe93afaedade3565334371904084023418a3bb93"/>
    <w:p>
      <w:pPr>
        <w:pStyle w:val="Heading3"/>
      </w:pPr>
      <w:r>
        <w:t xml:space="preserve">Phase 3: Qualitative Deep Dives (Months 5-7)</w:t>
      </w:r>
    </w:p>
    <w:p>
      <w:pPr>
        <w:pStyle w:val="FirstParagraph"/>
      </w:pPr>
      <w:r>
        <w:t xml:space="preserve">Conducting semi-structured interviews with 25 senior bankers and client relationship managers at major Dubai-based institutions. Focus areas include:</w:t>
      </w:r>
    </w:p>
    <w:p>
      <w:pPr>
        <w:numPr>
          <w:ilvl w:val="0"/>
          <w:numId w:val="1004"/>
        </w:numPr>
        <w:pStyle w:val="Compact"/>
      </w:pPr>
      <w:r>
        <w:t xml:space="preserve">The practical application of Sharia-compliant finance in modern banking</w:t>
      </w:r>
    </w:p>
    <w:p>
      <w:pPr>
        <w:numPr>
          <w:ilvl w:val="0"/>
          <w:numId w:val="1004"/>
        </w:numPr>
        <w:pStyle w:val="Compact"/>
      </w:pPr>
      <w:r>
        <w:t xml:space="preserve">Challenges in balancing UAE regulatory compliance with global standards</w:t>
      </w:r>
    </w:p>
    <w:p>
      <w:pPr>
        <w:numPr>
          <w:ilvl w:val="0"/>
          <w:numId w:val="1004"/>
        </w:numPr>
        <w:pStyle w:val="Compact"/>
      </w:pPr>
      <w:r>
        <w:t xml:space="preserve">Emerging skill requirements for future-proofing careers</w:t>
      </w:r>
    </w:p>
    <w:bookmarkEnd w:id="25"/>
    <w:bookmarkEnd w:id="26"/>
    <w:bookmarkStart w:id="30" w:name="expected-outcomes-and-significance"/>
    <w:p>
      <w:pPr>
        <w:pStyle w:val="Heading2"/>
      </w:pPr>
      <w:r>
        <w:t xml:space="preserve">5. Expected Outcomes and Significance</w:t>
      </w:r>
    </w:p>
    <w:p>
      <w:pPr>
        <w:pStyle w:val="FirstParagraph"/>
      </w:pPr>
      <w:r>
        <w:t xml:space="preserve">This research will deliver three transformative outputs:</w:t>
      </w:r>
    </w:p>
    <w:bookmarkStart w:id="27" w:name="dubai-banking-competency-framework-dbcf"/>
    <w:p>
      <w:pPr>
        <w:pStyle w:val="Heading3"/>
      </w:pPr>
      <w:r>
        <w:t xml:space="preserve">1. Dubai Banking Competency Framework (DBCF)</w:t>
      </w:r>
    </w:p>
    <w:p>
      <w:pPr>
        <w:pStyle w:val="FirstParagraph"/>
      </w:pPr>
      <w:r>
        <w:t xml:space="preserve">A validated model categorizing essential skills into four dimensions: Cultural Navigation (e.g., Emirati business etiquette), Technical Proficiency (blockchain, AI tools), Regulatory Mastery (UAE Central Bank standards), and Ethical Decision-Making (integrating Islamic finance principles). This framework will directly address the skill gaps identified in Dubai's banking sector.</w:t>
      </w:r>
    </w:p>
    <w:bookmarkEnd w:id="27"/>
    <w:bookmarkStart w:id="28" w:name="strategic-implementation-roadmap"/>
    <w:p>
      <w:pPr>
        <w:pStyle w:val="Heading3"/>
      </w:pPr>
      <w:r>
        <w:t xml:space="preserve">2. Strategic Implementation Roadmap</w:t>
      </w:r>
    </w:p>
    <w:p>
      <w:pPr>
        <w:pStyle w:val="FirstParagraph"/>
      </w:pPr>
      <w:r>
        <w:t xml:space="preserve">A phased action plan for banks operating in United Arab Emirates Dubai, including:</w:t>
      </w:r>
    </w:p>
    <w:p>
      <w:pPr>
        <w:numPr>
          <w:ilvl w:val="0"/>
          <w:numId w:val="1005"/>
        </w:numPr>
        <w:pStyle w:val="Compact"/>
      </w:pPr>
      <w:r>
        <w:t xml:space="preserve">Curriculum redesign recommendations for UAE banking academies (e.g., integrating DIFC's regulatory sandbox experiences)</w:t>
      </w:r>
    </w:p>
    <w:p>
      <w:pPr>
        <w:numPr>
          <w:ilvl w:val="0"/>
          <w:numId w:val="1005"/>
        </w:numPr>
        <w:pStyle w:val="Compact"/>
      </w:pPr>
      <w:r>
        <w:t xml:space="preserve">Technology adoption guidelines for SME banking services</w:t>
      </w:r>
    </w:p>
    <w:p>
      <w:pPr>
        <w:numPr>
          <w:ilvl w:val="0"/>
          <w:numId w:val="1005"/>
        </w:numPr>
        <w:pStyle w:val="Compact"/>
      </w:pPr>
      <w:r>
        <w:t xml:space="preserve">Cultural intelligence training modules specific to Dubai's 200+ nationalities client base</w:t>
      </w:r>
    </w:p>
    <w:bookmarkEnd w:id="28"/>
    <w:bookmarkStart w:id="29" w:name="policy-brief-for-uae-regulatory-bodies"/>
    <w:p>
      <w:pPr>
        <w:pStyle w:val="Heading3"/>
      </w:pPr>
      <w:r>
        <w:t xml:space="preserve">3. Policy Brief for UAE Regulatory Bodies</w:t>
      </w:r>
    </w:p>
    <w:p>
      <w:pPr>
        <w:pStyle w:val="FirstParagraph"/>
      </w:pPr>
      <w:r>
        <w:t xml:space="preserve">A targeted submission to the UAE Central Bank and DIFC, proposing adjustments to professional certification requirements that reflect Dubai's unique market demands—particularly in sustainable finance and fintech innovation.</w:t>
      </w:r>
    </w:p>
    <w:bookmarkEnd w:id="29"/>
    <w:bookmarkEnd w:id="30"/>
    <w:bookmarkStart w:id="31" w:name="relevance-to-united-arab-emirates-dubai"/>
    <w:p>
      <w:pPr>
        <w:pStyle w:val="Heading2"/>
      </w:pPr>
      <w:r>
        <w:t xml:space="preserve">6. Relevance to United Arab Emirates Dubai</w:t>
      </w:r>
    </w:p>
    <w:p>
      <w:pPr>
        <w:pStyle w:val="FirstParagraph"/>
      </w:pPr>
      <w:r>
        <w:t xml:space="preserve">This research is exceptionally timely for Dubai as it aligns with three strategic priorities:</w:t>
      </w:r>
    </w:p>
    <w:p>
      <w:pPr>
        <w:numPr>
          <w:ilvl w:val="0"/>
          <w:numId w:val="1006"/>
        </w:numPr>
        <w:pStyle w:val="Compact"/>
      </w:pPr>
      <w:r>
        <w:rPr>
          <w:bCs/>
          <w:b/>
        </w:rPr>
        <w:t xml:space="preserve">Dubai Economic Agenda (D33):</w:t>
      </w:r>
      <w:r>
        <w:t xml:space="preserve"> </w:t>
      </w:r>
      <w:r>
        <w:t xml:space="preserve">The study directly supports D33's goal of enhancing financial services competitiveness through workforce development.</w:t>
      </w:r>
    </w:p>
    <w:p>
      <w:pPr>
        <w:numPr>
          <w:ilvl w:val="0"/>
          <w:numId w:val="1006"/>
        </w:numPr>
        <w:pStyle w:val="Compact"/>
      </w:pPr>
      <w:r>
        <w:rPr>
          <w:bCs/>
          <w:b/>
        </w:rPr>
        <w:t xml:space="preserve">UAE Financial Innovation Strategy:</w:t>
      </w:r>
      <w:r>
        <w:t xml:space="preserve"> </w:t>
      </w:r>
      <w:r>
        <w:t xml:space="preserve">By mapping the digital skills required of modern bankers, this research accelerates Dubai's position as a fintech pioneer.</w:t>
      </w:r>
    </w:p>
    <w:p>
      <w:pPr>
        <w:numPr>
          <w:ilvl w:val="0"/>
          <w:numId w:val="1006"/>
        </w:numPr>
        <w:pStyle w:val="Compact"/>
      </w:pPr>
      <w:r>
        <w:rPr>
          <w:bCs/>
          <w:b/>
        </w:rPr>
        <w:t xml:space="preserve">Cultural Diplomacy Objectives:</w:t>
      </w:r>
      <w:r>
        <w:t xml:space="preserve"> </w:t>
      </w:r>
      <w:r>
        <w:t xml:space="preserve">Understanding how bankers navigate Dubai's multicultural environment supports the UAE's broader vision of becoming a hub for international business and cultural exchange.</w:t>
      </w:r>
    </w:p>
    <w:p>
      <w:pPr>
        <w:pStyle w:val="FirstParagraph"/>
      </w:pPr>
      <w:r>
        <w:t xml:space="preserve">The findings will be presented to key stakeholders including the Dubai Financial Services Authority (DFSA), UAE Central Bank, and major banks at the annual Dubai International Banking Summit, ensuring immediate practical application.</w:t>
      </w:r>
    </w:p>
    <w:bookmarkEnd w:id="31"/>
    <w:bookmarkStart w:id="32" w:name="ethical-considerations"/>
    <w:p>
      <w:pPr>
        <w:pStyle w:val="Heading2"/>
      </w:pPr>
      <w:r>
        <w:t xml:space="preserve">7. Ethical Considerations</w:t>
      </w:r>
    </w:p>
    <w:p>
      <w:pPr>
        <w:pStyle w:val="FirstParagraph"/>
      </w:pPr>
      <w:r>
        <w:t xml:space="preserve">All participant data will be anonymized per UAE Data Protection Law (Federal Decree-Law No. 45 of 2021). The research team includes Emirati banking experts to ensure cultural sensitivity, and the study design has been reviewed by the Dubai University Research Ethics Committee. Participant consent forms will explicitly address confidentiality protocols for Dubai-based financial institutions.</w:t>
      </w:r>
    </w:p>
    <w:bookmarkEnd w:id="32"/>
    <w:bookmarkStart w:id="33" w:name="timeline-and-deliverables"/>
    <w:p>
      <w:pPr>
        <w:pStyle w:val="Heading2"/>
      </w:pPr>
      <w:r>
        <w:t xml:space="preserve">8. Timeline and Deliverables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w:t>
            </w:r>
          </w:p>
        </w:tc>
      </w:tr>
      <w:tr>
        <w:tc>
          <w:tcPr/>
          <w:p>
            <w:pPr>
              <w:pStyle w:val="Compact"/>
              <w:jc w:val="left"/>
            </w:pPr>
            <w:r>
              <w:t xml:space="preserve">Literature Review &amp; Design</w:t>
            </w:r>
          </w:p>
        </w:tc>
        <w:tc>
          <w:tcPr/>
          <w:p>
            <w:pPr>
              <w:pStyle w:val="Compact"/>
              <w:jc w:val="left"/>
            </w:pPr>
            <w:r>
              <w:t xml:space="preserve">Month 1-2</w:t>
            </w:r>
          </w:p>
        </w:tc>
        <w:tc>
          <w:tcPr/>
          <w:p>
            <w:pPr>
              <w:pStyle w:val="Compact"/>
              <w:jc w:val="left"/>
            </w:pPr>
            <w:r>
              <w:t xml:space="preserve">Refined research instruments and ethical approval documentation</w:t>
            </w:r>
          </w:p>
        </w:tc>
      </w:tr>
      <w:tr>
        <w:tc>
          <w:tcPr/>
          <w:p>
            <w:pPr>
              <w:pStyle w:val="Compact"/>
              <w:jc w:val="left"/>
            </w:pPr>
            <w:r>
              <w:t xml:space="preserve">Data Collection &amp; Analysis</w:t>
            </w:r>
          </w:p>
        </w:tc>
        <w:tc>
          <w:tcPr/>
          <w:p>
            <w:pPr>
              <w:pStyle w:val="Compact"/>
              <w:jc w:val="left"/>
            </w:pPr>
            <w:r>
              <w:t xml:space="preserve">Month 3-6</w:t>
            </w:r>
          </w:p>
        </w:tc>
        <w:tc>
          <w:tcPr/>
          <w:p>
            <w:pPr>
              <w:pStyle w:val="Compact"/>
              <w:jc w:val="left"/>
            </w:pPr>
            <w:r>
              <w:t xml:space="preserve">Cross-institutional competency benchmarking report; Preliminary skill gap analysis</w:t>
            </w:r>
          </w:p>
        </w:tc>
      </w:tr>
      <w:tr>
        <w:tc>
          <w:tcPr/>
          <w:p>
            <w:pPr>
              <w:pStyle w:val="Compact"/>
              <w:jc w:val="left"/>
            </w:pPr>
            <w:r>
              <w:t xml:space="preserve">Framework Development</w:t>
            </w:r>
          </w:p>
        </w:tc>
        <w:tc>
          <w:tcPr/>
          <w:p>
            <w:pPr>
              <w:pStyle w:val="Compact"/>
              <w:jc w:val="left"/>
            </w:pPr>
            <w:r>
              <w:t xml:space="preserve">Month 7-8</w:t>
            </w:r>
          </w:p>
        </w:tc>
        <w:tc>
          <w:tcPr/>
          <w:p>
            <w:pPr>
              <w:pStyle w:val="Compact"/>
              <w:jc w:val="left"/>
            </w:pPr>
            <w:r>
              <w:t xml:space="preserve">Dubai Banking Competency Framework (DBCF) draft + Stakeholder validation workshop</w:t>
            </w:r>
          </w:p>
        </w:tc>
      </w:tr>
      <w:tr>
        <w:tc>
          <w:tcPr/>
          <w:p>
            <w:pPr>
              <w:pStyle w:val="Compact"/>
              <w:jc w:val="left"/>
            </w:pPr>
            <w:r>
              <w:t xml:space="preserve">Final Report &amp; Policy Briefing</w:t>
            </w:r>
          </w:p>
        </w:tc>
        <w:tc>
          <w:tcPr/>
          <w:p>
            <w:pPr>
              <w:pStyle w:val="Compact"/>
              <w:jc w:val="left"/>
            </w:pPr>
            <w:r>
              <w:t xml:space="preserve">Month 9</w:t>
            </w:r>
          </w:p>
        </w:tc>
        <w:tc>
          <w:tcPr/>
          <w:p>
            <w:pPr>
              <w:pStyle w:val="Compact"/>
              <w:jc w:val="left"/>
            </w:pPr>
            <w:r>
              <w:t xml:space="preserve">Complete research publication with implementation roadmap; Presentation to UAE Central Bank and DIFC leadership</w:t>
            </w:r>
          </w:p>
        </w:tc>
      </w:tr>
    </w:tbl>
    <w:bookmarkEnd w:id="33"/>
    <w:bookmarkStart w:id="34" w:name="conclusion"/>
    <w:p>
      <w:pPr>
        <w:pStyle w:val="Heading2"/>
      </w:pPr>
      <w:r>
        <w:t xml:space="preserve">9. Conclusion</w:t>
      </w:r>
    </w:p>
    <w:p>
      <w:pPr>
        <w:pStyle w:val="FirstParagraph"/>
      </w:pPr>
      <w:r>
        <w:t xml:space="preserve">The modern banker in United Arab Emirates Dubai is no longer merely a transaction processor but a strategic cultural broker, digital navigator, and ethical advisor. This</w:t>
      </w:r>
      <w:r>
        <w:t xml:space="preserve"> </w:t>
      </w:r>
      <w:r>
        <w:rPr>
          <w:bCs/>
          <w:b/>
        </w:rPr>
        <w:t xml:space="preserve">Research Proposal</w:t>
      </w:r>
      <w:r>
        <w:t xml:space="preserve"> </w:t>
      </w:r>
      <w:r>
        <w:t xml:space="preserve">outlines an urgent investigation into this critical professional evolution within Dubai's unique financial ecosystem. By developing the first comprehensive competency framework specifically designed for bankers operating in United Arab Emirates Dubai, this study will directly contribute to positioning Dubai as the world's most advanced banking hub—where cultural intelligence meets technological innovation under a robust regulatory framework. The findings promise to elevate service quality, accelerate fintech adoption, and reinforce Dubai's status as the premier destination for international finance in the Middle East.</w:t>
      </w:r>
    </w:p>
    <w:p>
      <w:pPr>
        <w:pStyle w:val="BodyText"/>
      </w:pPr>
      <w:r>
        <w:rPr>
          <w:bCs/>
          <w:b/>
        </w:rPr>
        <w:t xml:space="preserve">Total Word Count: 852</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Modern Banker in Dubai's Financial Ecosystem</dc:title>
  <dc:creator/>
  <dc:language>en</dc:language>
  <cp:keywords/>
  <dcterms:created xsi:type="dcterms:W3CDTF">2026-07-23T20:27:35Z</dcterms:created>
  <dcterms:modified xsi:type="dcterms:W3CDTF">2026-07-23T20:27:35Z</dcterms:modified>
</cp:coreProperties>
</file>

<file path=docProps/custom.xml><?xml version="1.0" encoding="utf-8"?>
<Properties xmlns="http://schemas.openxmlformats.org/officeDocument/2006/custom-properties" xmlns:vt="http://schemas.openxmlformats.org/officeDocument/2006/docPropsVTypes"/>
</file>