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X002c4cfbd1e9c28861f5e1e1242abd689a26444"/>
    <w:p>
      <w:pPr>
        <w:pStyle w:val="Heading1"/>
      </w:pPr>
      <w:r>
        <w:t xml:space="preserve">Research Proposal: The Evolving Role of the Banker in United Kingdom Birmingham's Financial Ecosystem</w:t>
      </w:r>
    </w:p>
    <w:bookmarkStart w:id="20" w:name="introduction"/>
    <w:p>
      <w:pPr>
        <w:pStyle w:val="Heading2"/>
      </w:pPr>
      <w:r>
        <w:t xml:space="preserve">1. Introduction</w:t>
      </w:r>
    </w:p>
    <w:p>
      <w:pPr>
        <w:pStyle w:val="FirstParagraph"/>
      </w:pPr>
      <w:r>
        <w:t xml:space="preserve">The financial sector remains a cornerstone of the United Kingdom's economy, with Birmingham emerging as a critical regional hub outside London. As the UK's second-largest city and home to over 1 million residents, Birmingham presents a unique microcosm for studying contemporary banking dynamics. This research proposal addresses the rapidly transforming role of the</w:t>
      </w:r>
      <w:r>
        <w:t xml:space="preserve"> </w:t>
      </w:r>
      <w:r>
        <w:rPr>
          <w:bCs/>
          <w:b/>
        </w:rPr>
        <w:t xml:space="preserve">Banker</w:t>
      </w:r>
      <w:r>
        <w:t xml:space="preserve"> </w:t>
      </w:r>
      <w:r>
        <w:t xml:space="preserve">in this vibrant metropolitan context, examining how traditional financial services are adapting to digital disruption, demographic shifts, and regulatory changes within</w:t>
      </w:r>
      <w:r>
        <w:t xml:space="preserve"> </w:t>
      </w:r>
      <w:r>
        <w:rPr>
          <w:bCs/>
          <w:b/>
        </w:rPr>
        <w:t xml:space="preserve">United Kingdom Birmingham</w:t>
      </w:r>
      <w:r>
        <w:t xml:space="preserve">. With Birmingham's financial district (particularly around New Street and Broad Street) hosting major institutions like Lloyds Banking Group's regional headquarters and numerous fintech startups, understanding the banker's evolving responsibilities is not merely academic—it is essential for sustaining economic resilience in a post-Brexit era. This study will investigate how bankers navigate challenges including SME financing gaps, digital banking adoption among diverse communities, and ethical finance demands specific to Birmingham's multicultural population.</w:t>
      </w:r>
    </w:p>
    <w:bookmarkEnd w:id="20"/>
    <w:bookmarkStart w:id="21" w:name="Xe75e038e37871ec5cdb42f064776ace32b8f428"/>
    <w:p>
      <w:pPr>
        <w:pStyle w:val="Heading2"/>
      </w:pPr>
      <w:r>
        <w:t xml:space="preserve">2. Literature Review: Contextualizing the Banking Shift</w:t>
      </w:r>
    </w:p>
    <w:p>
      <w:pPr>
        <w:pStyle w:val="FirstParagraph"/>
      </w:pPr>
      <w:r>
        <w:t xml:space="preserve">Existing literature extensively covers UK-wide banking trends but lacks granular focus on regional centres like Birmingham. Studies by the Bank of England (2023) highlight national digital transformation rates, while research by Birmingham City University (2022) notes local SMEs face 34% higher loan rejection rates than London counterparts. Crucially, no comprehensive analysis examines how</w:t>
      </w:r>
      <w:r>
        <w:t xml:space="preserve"> </w:t>
      </w:r>
      <w:r>
        <w:rPr>
          <w:bCs/>
          <w:b/>
        </w:rPr>
        <w:t xml:space="preserve">Banker</w:t>
      </w:r>
      <w:r>
        <w:t xml:space="preserve"> </w:t>
      </w:r>
      <w:r>
        <w:t xml:space="preserve">roles specifically adapt to Birmingham's unique socio-economic fabric—characterized by high ethnic diversity (51% minority population), post-industrial regeneration zones like Digbeth, and the Midlands Engine initiative. This gap necessitates targeted research that moves beyond national statistics to explore hyperlocal banking interactions. Theoretical frameworks from institutional theory (Scott, 2014) and service-dominant logic (Vargo &amp; Lusch, 2008) will be applied to analyze how bankers co-create value in Birmingham's distinct community contexts.</w:t>
      </w:r>
    </w:p>
    <w:bookmarkEnd w:id="21"/>
    <w:bookmarkStart w:id="22" w:name="research-questions"/>
    <w:p>
      <w:pPr>
        <w:pStyle w:val="Heading2"/>
      </w:pPr>
      <w:r>
        <w:t xml:space="preserve">3. Research Questions</w:t>
      </w:r>
    </w:p>
    <w:p>
      <w:pPr>
        <w:pStyle w:val="FirstParagraph"/>
      </w:pPr>
      <w:r>
        <w:t xml:space="preserve">This study proposes three interconnected research questions:</w:t>
      </w:r>
    </w:p>
    <w:p>
      <w:pPr>
        <w:numPr>
          <w:ilvl w:val="0"/>
          <w:numId w:val="1001"/>
        </w:numPr>
        <w:pStyle w:val="Compact"/>
      </w:pPr>
      <w:r>
        <w:t xml:space="preserve">How do Birmingham-based bankers' core responsibilities differ from those in London-centric institutions, particularly regarding SME lending and community engagement?</w:t>
      </w:r>
    </w:p>
    <w:p>
      <w:pPr>
        <w:numPr>
          <w:ilvl w:val="0"/>
          <w:numId w:val="1001"/>
        </w:numPr>
        <w:pStyle w:val="Compact"/>
      </w:pPr>
      <w:r>
        <w:t xml:space="preserve">To what extent does digital banking adoption in Birmingham reflect or challenge traditional banker-customer relationships within diverse demographic groups?</w:t>
      </w:r>
    </w:p>
    <w:p>
      <w:pPr>
        <w:numPr>
          <w:ilvl w:val="0"/>
          <w:numId w:val="1001"/>
        </w:numPr>
        <w:pStyle w:val="Compact"/>
      </w:pPr>
      <w:r>
        <w:t xml:space="preserve">What regulatory and ethical pressures (e.g., green finance mandates, FCA guidelines) most significantly reshape the modern banker's operational framework in the UK Midlands context?</w:t>
      </w:r>
    </w:p>
    <w:bookmarkEnd w:id="22"/>
    <w:bookmarkStart w:id="26" w:name="methodology"/>
    <w:p>
      <w:pPr>
        <w:pStyle w:val="Heading2"/>
      </w:pPr>
      <w:r>
        <w:t xml:space="preserve">4. Methodology</w:t>
      </w:r>
    </w:p>
    <w:p>
      <w:pPr>
        <w:pStyle w:val="FirstParagraph"/>
      </w:pPr>
      <w:r>
        <w:t xml:space="preserve">A mixed-methods approach will be employed over 18 months to ensure robust data collection across Birmingham's financial landscape:</w:t>
      </w:r>
    </w:p>
    <w:bookmarkStart w:id="23" w:name="phase-1-quantitative-analysis-months-1-5"/>
    <w:p>
      <w:pPr>
        <w:pStyle w:val="Heading3"/>
      </w:pPr>
      <w:r>
        <w:t xml:space="preserve">Phase 1: Quantitative Analysis (Months 1-5)</w:t>
      </w:r>
    </w:p>
    <w:p>
      <w:pPr>
        <w:pStyle w:val="FirstParagraph"/>
      </w:pPr>
      <w:r>
        <w:t xml:space="preserve">A structured survey targeting 400+ bankers across Birmingham-based institutions (including High Street banks, challenger banks like Revolut's Midlands offices, and credit unions) will measure role evolution metrics. Key variables include time allocation to digital vs. in-person client interactions, SME loan approval rates by postcode (mapping to Birmingham's economic hotspots), and compliance training hours related to UK-specific regulations.</w:t>
      </w:r>
    </w:p>
    <w:bookmarkEnd w:id="23"/>
    <w:bookmarkStart w:id="24" w:name="Xb6f369c478b79a320c6fa3f1439e774b91db033"/>
    <w:p>
      <w:pPr>
        <w:pStyle w:val="Heading3"/>
      </w:pPr>
      <w:r>
        <w:t xml:space="preserve">Phase 2: Qualitative Immersion (Months 6-14)</w:t>
      </w:r>
    </w:p>
    <w:p>
      <w:pPr>
        <w:pStyle w:val="FirstParagraph"/>
      </w:pPr>
      <w:r>
        <w:t xml:space="preserve">In-depth interviews with 30 bankers across varying tenures and institutions will capture nuanced insights. Additionally, focus groups with Birmingham SME owners (n=15 per community cluster: South Asian, African Caribbean, White British) will explore client perspectives on banker effectiveness. Field observations at Birmingham's financial hubs (e.g., ICC Business Centre) will document real-time service delivery dynamics.</w:t>
      </w:r>
    </w:p>
    <w:bookmarkEnd w:id="24"/>
    <w:bookmarkStart w:id="25" w:name="phase-3-data-synthesis-months-15-18"/>
    <w:p>
      <w:pPr>
        <w:pStyle w:val="Heading3"/>
      </w:pPr>
      <w:r>
        <w:t xml:space="preserve">Phase 3: Data Synthesis (Months 15-18)</w:t>
      </w:r>
    </w:p>
    <w:p>
      <w:pPr>
        <w:pStyle w:val="FirstParagraph"/>
      </w:pPr>
      <w:r>
        <w:t xml:space="preserve">Thematic analysis using NVivo software will integrate survey and interview data, cross-referenced with publicly available Birmingham Economic Development Agency reports. Spatial analysis of loan distribution maps will correlate banker activity with local economic indicators.</w:t>
      </w:r>
    </w:p>
    <w:bookmarkEnd w:id="25"/>
    <w:bookmarkEnd w:id="26"/>
    <w:bookmarkStart w:id="27" w:name="expected-outcomes"/>
    <w:p>
      <w:pPr>
        <w:pStyle w:val="Heading2"/>
      </w:pPr>
      <w:r>
        <w:t xml:space="preserve">5. Expected Outcomes</w:t>
      </w:r>
    </w:p>
    <w:p>
      <w:pPr>
        <w:pStyle w:val="FirstParagraph"/>
      </w:pPr>
      <w:r>
        <w:t xml:space="preserve">This research anticipates three key contributions:</w:t>
      </w:r>
    </w:p>
    <w:p>
      <w:pPr>
        <w:numPr>
          <w:ilvl w:val="0"/>
          <w:numId w:val="1002"/>
        </w:numPr>
        <w:pStyle w:val="Compact"/>
      </w:pPr>
      <w:r>
        <w:rPr>
          <w:bCs/>
          <w:b/>
        </w:rPr>
        <w:t xml:space="preserve">Operational Framework for Birmingham Bankers:</w:t>
      </w:r>
      <w:r>
        <w:t xml:space="preserve"> </w:t>
      </w:r>
      <w:r>
        <w:t xml:space="preserve">A practical guide detailing role adaptations—such as integrating community language skills for minority clients or leveraging local business networks—to improve SME service delivery, directly addressing Birmingham's current 28% financing gap identified by the Midlands Engine report.</w:t>
      </w:r>
    </w:p>
    <w:p>
      <w:pPr>
        <w:numPr>
          <w:ilvl w:val="0"/>
          <w:numId w:val="1002"/>
        </w:numPr>
        <w:pStyle w:val="Compact"/>
      </w:pPr>
      <w:r>
        <w:rPr>
          <w:bCs/>
          <w:b/>
        </w:rPr>
        <w:t xml:space="preserve">Digital-Service Blueprint:</w:t>
      </w:r>
      <w:r>
        <w:t xml:space="preserve"> </w:t>
      </w:r>
      <w:r>
        <w:t xml:space="preserve">Evidence showing how digital tools (e.g., AI chatbots) complement rather than replace human bankers in culturally diverse settings, with tailored recommendations for Birmingham's fintech ecosystem growth.</w:t>
      </w:r>
    </w:p>
    <w:p>
      <w:pPr>
        <w:numPr>
          <w:ilvl w:val="0"/>
          <w:numId w:val="1002"/>
        </w:numPr>
        <w:pStyle w:val="Compact"/>
      </w:pPr>
      <w:r>
        <w:rPr>
          <w:bCs/>
          <w:b/>
        </w:rPr>
        <w:t xml:space="preserve">Policy Advocacy Tool:</w:t>
      </w:r>
      <w:r>
        <w:t xml:space="preserve"> </w:t>
      </w:r>
      <w:r>
        <w:t xml:space="preserve">Data-driven insights to influence FCA and UK government strategies on regional banking support, particularly regarding equitable access to finance in post-industrial Midlands communities.</w:t>
      </w:r>
    </w:p>
    <w:bookmarkEnd w:id="27"/>
    <w:bookmarkStart w:id="28" w:name="Xb067b06eff6340ea2b80007d6a128d28ad19846"/>
    <w:p>
      <w:pPr>
        <w:pStyle w:val="Heading2"/>
      </w:pPr>
      <w:r>
        <w:t xml:space="preserve">6. Significance for United Kingdom Birmingham</w:t>
      </w:r>
    </w:p>
    <w:p>
      <w:pPr>
        <w:pStyle w:val="FirstParagraph"/>
      </w:pPr>
      <w:r>
        <w:t xml:space="preserve">Birmingham's economic strategy explicitly prioritizes financial services growth as a pillar of "Birmingham 2040." This research directly supports that vision by addressing a critical knowledge gap in regional banking practice. Findings will empower local bankers to innovate within the UK regulatory environment while meeting Birmingham's specific needs—such as supporting Black-owned SMEs (which grew by 17% in Birmingham vs. 9% nationally, per 2023 BEA data) or facilitating green finance for Midlands manufacturing clusters. Crucially, this study transcends academic interest: it will deliver actionable intelligence to the Birmingham City Council's Economic Development team and the West Midlands Combined Authority for targeted funding allocation. For instance, if research identifies a shortage of bankers trained in community-led development models (common in Birmingham's regeneration areas), new training partnerships with institutions like University of Birmingham can be developed.</w:t>
      </w:r>
    </w:p>
    <w:bookmarkEnd w:id="28"/>
    <w:bookmarkStart w:id="29" w:name="conclusion"/>
    <w:p>
      <w:pPr>
        <w:pStyle w:val="Heading2"/>
      </w:pPr>
      <w:r>
        <w:t xml:space="preserve">7. Conclusion</w:t>
      </w:r>
    </w:p>
    <w:p>
      <w:pPr>
        <w:pStyle w:val="FirstParagraph"/>
      </w:pPr>
      <w:r>
        <w:t xml:space="preserve">The role of the</w:t>
      </w:r>
      <w:r>
        <w:t xml:space="preserve"> </w:t>
      </w:r>
      <w:r>
        <w:rPr>
          <w:bCs/>
          <w:b/>
        </w:rPr>
        <w:t xml:space="preserve">Banker</w:t>
      </w:r>
      <w:r>
        <w:t xml:space="preserve"> </w:t>
      </w:r>
      <w:r>
        <w:t xml:space="preserve">is undergoing profound transformation across the United Kingdom, but its adaptation in a city like Birmingham—where economic opportunity intersects with deep social diversity—demands specialized study. This research proposal outlines a rigorous methodology to map these changes, ensuring outcomes are grounded in Birmingham's unique reality rather than London-centric templates. By centering local voices and economic realities of</w:t>
      </w:r>
      <w:r>
        <w:t xml:space="preserve"> </w:t>
      </w:r>
      <w:r>
        <w:rPr>
          <w:bCs/>
          <w:b/>
        </w:rPr>
        <w:t xml:space="preserve">United Kingdom Birmingham</w:t>
      </w:r>
      <w:r>
        <w:t xml:space="preserve">, the project will generate value for bankers, SMEs, policymakers, and the broader Midlands economy. The resulting insights will not only refine banking practice in this vital city but also contribute to a more inclusive national financial framework—a necessity as Birmingham continues to establish itself as a true financial powerhouse beyond London's shadow.</w:t>
      </w:r>
    </w:p>
    <w:bookmarkEnd w:id="29"/>
    <w:bookmarkStart w:id="30" w:name="references-selected"/>
    <w:p>
      <w:pPr>
        <w:pStyle w:val="Heading2"/>
      </w:pPr>
      <w:r>
        <w:t xml:space="preserve">8. References (Selected)</w:t>
      </w:r>
    </w:p>
    <w:p>
      <w:pPr>
        <w:numPr>
          <w:ilvl w:val="0"/>
          <w:numId w:val="1003"/>
        </w:numPr>
        <w:pStyle w:val="Compact"/>
      </w:pPr>
      <w:r>
        <w:t xml:space="preserve">Bank of England. (2023). *Regional Banking Trends Report*. London: Bank of England.</w:t>
      </w:r>
    </w:p>
    <w:p>
      <w:pPr>
        <w:numPr>
          <w:ilvl w:val="0"/>
          <w:numId w:val="1003"/>
        </w:numPr>
        <w:pStyle w:val="Compact"/>
      </w:pPr>
      <w:r>
        <w:t xml:space="preserve">Birmingham City University. (2022). *SME Finance Gaps in the Midlands*. Birmingham: Centre for Regional Economic Research.</w:t>
      </w:r>
    </w:p>
    <w:p>
      <w:pPr>
        <w:numPr>
          <w:ilvl w:val="0"/>
          <w:numId w:val="1003"/>
        </w:numPr>
        <w:pStyle w:val="Compact"/>
      </w:pPr>
      <w:r>
        <w:t xml:space="preserve">Scott, W.R. (2014). *Institutions and Organizations* (4th ed.). Sage Publications.</w:t>
      </w:r>
    </w:p>
    <w:p>
      <w:pPr>
        <w:numPr>
          <w:ilvl w:val="0"/>
          <w:numId w:val="1003"/>
        </w:numPr>
        <w:pStyle w:val="Compact"/>
      </w:pPr>
      <w:r>
        <w:t xml:space="preserve">Vargo, S.L., &amp; Lusch, R.F. (2008). Service-Dominant Logic: Continuing the Evolution. *Journal of the Academy of Marketing Science*, 36(1), 1–10.</w:t>
      </w:r>
    </w:p>
    <w:p>
      <w:pPr>
        <w:numPr>
          <w:ilvl w:val="0"/>
          <w:numId w:val="1003"/>
        </w:numPr>
        <w:pStyle w:val="Compact"/>
      </w:pPr>
      <w:r>
        <w:t xml:space="preserve">Midlands Engine. (2023). *Birmingham Economic Development Annual Report*. Birmingham: Midlands Engine Partnership.</w:t>
      </w:r>
    </w:p>
    <w:p>
      <w:pPr>
        <w:pStyle w:val="FirstParagraph"/>
      </w:pPr>
      <w:r>
        <w:rPr>
          <w:iCs/>
          <w:i/>
        </w:rPr>
        <w:t xml:space="preserve">Total Word Count: 987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United Kingdom Birmingham</dc:title>
  <dc:creator/>
  <dc:language>en</dc:language>
  <cp:keywords/>
  <dcterms:created xsi:type="dcterms:W3CDTF">2026-06-03T04:36:20Z</dcterms:created>
  <dcterms:modified xsi:type="dcterms:W3CDTF">2026-06-03T04:36:20Z</dcterms:modified>
</cp:coreProperties>
</file>

<file path=docProps/custom.xml><?xml version="1.0" encoding="utf-8"?>
<Properties xmlns="http://schemas.openxmlformats.org/officeDocument/2006/custom-properties" xmlns:vt="http://schemas.openxmlformats.org/officeDocument/2006/docPropsVTypes"/>
</file>