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c1a7ee40bc43bb781c261e9b0cdacb64748583"/>
    <w:p>
      <w:pPr>
        <w:pStyle w:val="Heading1"/>
      </w:pPr>
      <w:r>
        <w:t xml:space="preserve">A Research Proposal on the Contemporary Role of the Banker in United States Chicago</w:t>
      </w:r>
    </w:p>
    <w:bookmarkStart w:id="20" w:name="Xa8407ee920d04940c713ceba39bdc969ecb514d"/>
    <w:p>
      <w:pPr>
        <w:pStyle w:val="Heading2"/>
      </w:pPr>
      <w:r>
        <w:t xml:space="preserve">Introduction: Significance of Banking in United States Chicago</w:t>
      </w:r>
    </w:p>
    <w:p>
      <w:pPr>
        <w:pStyle w:val="FirstParagraph"/>
      </w:pPr>
      <w:r>
        <w:t xml:space="preserve">The financial services sector remains a cornerstone of economic vitality for the United States, with Chicago emerging as one of the nation's most dynamic banking hubs. As a critical center for commercial, investment, and retail banking operations within the United States Chicago ecosystem, this city hosts major institutions like JPMorgan Chase's Midwest headquarters and Northern Trust's global operations. This</w:t>
      </w:r>
      <w:r>
        <w:t xml:space="preserve"> </w:t>
      </w:r>
      <w:r>
        <w:rPr>
          <w:iCs/>
          <w:i/>
        </w:rPr>
        <w:t xml:space="preserve">Research Proposal</w:t>
      </w:r>
      <w:r>
        <w:t xml:space="preserve"> </w:t>
      </w:r>
      <w:r>
        <w:t xml:space="preserve">addresses an urgent need to analyze how the modern</w:t>
      </w:r>
      <w:r>
        <w:t xml:space="preserve"> </w:t>
      </w:r>
      <w:r>
        <w:rPr>
          <w:bCs/>
          <w:b/>
        </w:rPr>
        <w:t xml:space="preserve">Banker</w:t>
      </w:r>
      <w:r>
        <w:t xml:space="preserve"> </w:t>
      </w:r>
      <w:r>
        <w:t xml:space="preserve">navigates evolving regulatory landscapes, technological disruptions, and community-centric demands within the unique socio-economic context of United States Chicago. With over 500 financial institutions operating across Chicago's 77 neighborhoods—from affluent Lake Shore Drive to underserved South Side communities—the role of the</w:t>
      </w:r>
      <w:r>
        <w:t xml:space="preserve"> </w:t>
      </w:r>
      <w:r>
        <w:rPr>
          <w:iCs/>
          <w:i/>
        </w:rPr>
        <w:t xml:space="preserve">Banker</w:t>
      </w:r>
      <w:r>
        <w:t xml:space="preserve"> </w:t>
      </w:r>
      <w:r>
        <w:t xml:space="preserve">transcends transactional services to become a pivotal agent for economic equity and resilience.</w:t>
      </w:r>
    </w:p>
    <w:bookmarkEnd w:id="20"/>
    <w:bookmarkStart w:id="21" w:name="X706dd4c0d39e78297d8534ae65e44a05b378419"/>
    <w:p>
      <w:pPr>
        <w:pStyle w:val="Heading2"/>
      </w:pPr>
      <w:r>
        <w:t xml:space="preserve">Literature Review: Gaps in Existing Banking Research</w:t>
      </w:r>
    </w:p>
    <w:p>
      <w:pPr>
        <w:pStyle w:val="FirstParagraph"/>
      </w:pPr>
      <w:r>
        <w:t xml:space="preserve">Existing scholarship predominantly centers on New York and San Francisco as banking paradigms, neglecting Chicago's distinct ecosystem. Studies by the Federal Reserve Bank of Chicago (2021) note regional disparities in financial inclusion but lack granular analysis of the</w:t>
      </w:r>
      <w:r>
        <w:t xml:space="preserve"> </w:t>
      </w:r>
      <w:r>
        <w:rPr>
          <w:bCs/>
          <w:b/>
        </w:rPr>
        <w:t xml:space="preserve">Banker</w:t>
      </w:r>
      <w:r>
        <w:t xml:space="preserve">'s operational agency. Similarly, fintech disruption research (e.g., McKinsey &amp; Company, 2023) focuses on national trends without contextualizing Chicago's "third wave" of banking innovation—where community banks like Heartland Alliance Financial Partners coexist with global institutions. This</w:t>
      </w:r>
      <w:r>
        <w:t xml:space="preserve"> </w:t>
      </w:r>
      <w:r>
        <w:rPr>
          <w:iCs/>
          <w:i/>
        </w:rPr>
        <w:t xml:space="preserve">Research Proposal</w:t>
      </w:r>
      <w:r>
        <w:t xml:space="preserve"> </w:t>
      </w:r>
      <w:r>
        <w:t xml:space="preserve">bridges this gap by centering the Chicago-based</w:t>
      </w:r>
      <w:r>
        <w:t xml:space="preserve"> </w:t>
      </w:r>
      <w:r>
        <w:rPr>
          <w:bCs/>
          <w:b/>
        </w:rPr>
        <w:t xml:space="preserve">Banker</w:t>
      </w:r>
      <w:r>
        <w:t xml:space="preserve"> </w:t>
      </w:r>
      <w:r>
        <w:t xml:space="preserve">as the nexus of urban economic strategy within the United States.</w:t>
      </w:r>
    </w:p>
    <w:bookmarkEnd w:id="21"/>
    <w:bookmarkStart w:id="22" w:name="research-questions-and-objectives"/>
    <w:p>
      <w:pPr>
        <w:pStyle w:val="Heading2"/>
      </w:pPr>
      <w:r>
        <w:t xml:space="preserve">Research Questions and Objectives</w:t>
      </w:r>
    </w:p>
    <w:p>
      <w:pPr>
        <w:pStyle w:val="FirstParagraph"/>
      </w:pPr>
      <w:r>
        <w:t xml:space="preserve">This study pursues three interrelated objectives:</w:t>
      </w:r>
    </w:p>
    <w:p>
      <w:pPr>
        <w:numPr>
          <w:ilvl w:val="0"/>
          <w:numId w:val="1001"/>
        </w:numPr>
        <w:pStyle w:val="Compact"/>
      </w:pPr>
      <w:r>
        <w:t xml:space="preserve">To map how regulatory compliance (e.g., CFPB guidelines, Illinois Department of Financial and Professional Regulation) shapes daily decision-making for the Chicago-based Banker.</w:t>
      </w:r>
    </w:p>
    <w:p>
      <w:pPr>
        <w:numPr>
          <w:ilvl w:val="0"/>
          <w:numId w:val="1001"/>
        </w:numPr>
        <w:pStyle w:val="Compact"/>
      </w:pPr>
      <w:r>
        <w:t xml:space="preserve">To assess the impact of digital transformation on client engagement, particularly in Chicago's historically banking-deserted neighborhoods.</w:t>
      </w:r>
    </w:p>
    <w:p>
      <w:pPr>
        <w:numPr>
          <w:ilvl w:val="0"/>
          <w:numId w:val="1001"/>
        </w:numPr>
        <w:pStyle w:val="Compact"/>
      </w:pPr>
      <w:r>
        <w:t xml:space="preserve">To evaluate how the Banker’s role intersects with community development goals—such as those advanced by the City of Chicago’s Financial Empowerment Zones—within United States Chicago.</w:t>
      </w:r>
    </w:p>
    <w:p>
      <w:pPr>
        <w:pStyle w:val="FirstParagraph"/>
      </w:pPr>
      <w:r>
        <w:t xml:space="preserve">These questions directly respond to a critical void: While national reports discuss banking accessibility, few examine how a</w:t>
      </w:r>
      <w:r>
        <w:t xml:space="preserve"> </w:t>
      </w:r>
      <w:r>
        <w:rPr>
          <w:iCs/>
          <w:i/>
        </w:rPr>
        <w:t xml:space="preserve">Banker</w:t>
      </w:r>
      <w:r>
        <w:t xml:space="preserve">'s on-the-ground actions in United States Chicago translate policy into tangible community outcomes. For instance, how does a Banker at UChicago Medicine's Community Development Corporation balance profit motives with the city’s 2030 equity targets?</w:t>
      </w:r>
    </w:p>
    <w:bookmarkEnd w:id="22"/>
    <w:bookmarkStart w:id="23" w:name="Xceff924ced98cb4b26ac479494d3c362fa8cd5f"/>
    <w:p>
      <w:pPr>
        <w:pStyle w:val="Heading2"/>
      </w:pPr>
      <w:r>
        <w:t xml:space="preserve">Methodology: Mixed-Methods Approach for Chicago Context</w:t>
      </w:r>
    </w:p>
    <w:p>
      <w:pPr>
        <w:pStyle w:val="FirstParagraph"/>
      </w:pPr>
      <w:r>
        <w:t xml:space="preserve">This study employs a triangulated methodology tailored to United States Chicago’s urban fabric:</w:t>
      </w:r>
    </w:p>
    <w:p>
      <w:pPr>
        <w:numPr>
          <w:ilvl w:val="0"/>
          <w:numId w:val="1002"/>
        </w:numPr>
        <w:pStyle w:val="Compact"/>
      </w:pPr>
      <w:r>
        <w:rPr>
          <w:bCs/>
          <w:b/>
        </w:rPr>
        <w:t xml:space="preserve">Quantitative Survey:</w:t>
      </w:r>
      <w:r>
        <w:t xml:space="preserve"> </w:t>
      </w:r>
      <w:r>
        <w:t xml:space="preserve">Distributed to 300+ Bankers across 50 Chicago financial institutions (including Credit Unions like PNC and Community Development Financial Institutions), measuring time allocation, tech adoption rates, and community engagement metrics.</w:t>
      </w:r>
    </w:p>
    <w:p>
      <w:pPr>
        <w:numPr>
          <w:ilvl w:val="0"/>
          <w:numId w:val="1002"/>
        </w:numPr>
        <w:pStyle w:val="Compact"/>
      </w:pPr>
      <w:r>
        <w:rPr>
          <w:bCs/>
          <w:b/>
        </w:rPr>
        <w:t xml:space="preserve">Qualitative Case Studies:</w:t>
      </w:r>
      <w:r>
        <w:t xml:space="preserve"> </w:t>
      </w:r>
      <w:r>
        <w:t xml:space="preserve">In-depth interviews with 25 Bankers from diverse Chicago neighborhoods—e.g., a loan officer at Wintrust in Englewood addressing food insecurity through microloans, or a wealth manager at Morningstar navigating ESG compliance for Midwest clients.</w:t>
      </w:r>
    </w:p>
    <w:p>
      <w:pPr>
        <w:numPr>
          <w:ilvl w:val="0"/>
          <w:numId w:val="1002"/>
        </w:numPr>
        <w:pStyle w:val="Compact"/>
      </w:pPr>
      <w:r>
        <w:rPr>
          <w:bCs/>
          <w:b/>
        </w:rPr>
        <w:t xml:space="preserve">Geospatial Analysis:</w:t>
      </w:r>
      <w:r>
        <w:t xml:space="preserve"> </w:t>
      </w:r>
      <w:r>
        <w:t xml:space="preserve">Mapping banking deserts versus service density using City of Chicago GIS data (2023), correlating Banker deployment with census tract economic indicators.</w:t>
      </w:r>
    </w:p>
    <w:p>
      <w:pPr>
        <w:pStyle w:val="FirstParagraph"/>
      </w:pPr>
      <w:r>
        <w:t xml:space="preserve">The methodology prioritizes Chicago-specific contexts: All interviews will be conducted in-person or via Zoom to capture local nuance, and survey questions reference city initiatives like "Chicago Cares" and the "100% Chicago" financial inclusion campaign. This ensures findings are actionable for United States Chicago stakeholders—not abstract national trends.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outputs:</w:t>
      </w:r>
    </w:p>
    <w:p>
      <w:pPr>
        <w:numPr>
          <w:ilvl w:val="0"/>
          <w:numId w:val="1003"/>
        </w:numPr>
        <w:pStyle w:val="Compact"/>
      </w:pPr>
      <w:r>
        <w:rPr>
          <w:bCs/>
          <w:b/>
        </w:rPr>
        <w:t xml:space="preserve">A Chicago Banking Role Framework:</w:t>
      </w:r>
      <w:r>
        <w:t xml:space="preserve"> </w:t>
      </w:r>
      <w:r>
        <w:t xml:space="preserve">A dynamic model defining the 21st-century Banker’s dual mandate: financial stewardship within United States Chicago’s regulatory environment and community development catalyst. This framework will differentiate Chicago's "community banker" archetype from traditional Wall Street roles.</w:t>
      </w:r>
    </w:p>
    <w:p>
      <w:pPr>
        <w:numPr>
          <w:ilvl w:val="0"/>
          <w:numId w:val="1003"/>
        </w:numPr>
        <w:pStyle w:val="Compact"/>
      </w:pPr>
      <w:r>
        <w:rPr>
          <w:bCs/>
          <w:b/>
        </w:rPr>
        <w:t xml:space="preserve">Policy Recommendations for City Regulators:</w:t>
      </w:r>
      <w:r>
        <w:t xml:space="preserve"> </w:t>
      </w:r>
      <w:r>
        <w:t xml:space="preserve">Evidence-based strategies for the City of Chicago Department of Financial and Professional Regulation to incentivize Banker-led initiatives in priority zones (e.g., tax credits for loans under $10k in Bronzeville).</w:t>
      </w:r>
    </w:p>
    <w:p>
      <w:pPr>
        <w:numPr>
          <w:ilvl w:val="0"/>
          <w:numId w:val="1003"/>
        </w:numPr>
        <w:pStyle w:val="Compact"/>
      </w:pPr>
      <w:r>
        <w:rPr>
          <w:bCs/>
          <w:b/>
        </w:rPr>
        <w:t xml:space="preserve">Educational Curriculum Blueprint:</w:t>
      </w:r>
      <w:r>
        <w:t xml:space="preserve"> </w:t>
      </w:r>
      <w:r>
        <w:t xml:space="preserve">A training module for Chicago-area banking schools (e.g., DePaul University's School of Business) targeting skills like cross-cultural client engagement and regulatory tech literacy—directly addressing skill gaps identified in the survey phase.</w:t>
      </w:r>
    </w:p>
    <w:p>
      <w:pPr>
        <w:pStyle w:val="FirstParagraph"/>
      </w:pPr>
      <w:r>
        <w:t xml:space="preserve">The significance extends beyond academia: Financial inclusion metrics in Chicago lag behind national averages (78% vs. 85%, FDIC 2023). By positioning the Banker as a solution—not just a service provider—this research could directly inform the Chicago Mayor’s Office of Financial Empowerment, which seeks to eliminate banking deserts by 2030.</w:t>
      </w:r>
    </w:p>
    <w:bookmarkEnd w:id="24"/>
    <w:bookmarkStart w:id="25" w:name="timeline-and-resource-allocation"/>
    <w:p>
      <w:pPr>
        <w:pStyle w:val="Heading2"/>
      </w:pPr>
      <w:r>
        <w:t xml:space="preserve">Timeline and Resource Allocation</w:t>
      </w:r>
    </w:p>
    <w:p>
      <w:pPr>
        <w:pStyle w:val="FirstParagraph"/>
      </w:pPr>
      <w:r>
        <w:t xml:space="preserve">The project spans 18 months across three phases:</w:t>
      </w:r>
    </w:p>
    <w:p>
      <w:pPr>
        <w:numPr>
          <w:ilvl w:val="0"/>
          <w:numId w:val="1004"/>
        </w:numPr>
        <w:pStyle w:val="Compact"/>
      </w:pPr>
      <w:r>
        <w:rPr>
          <w:bCs/>
          <w:b/>
        </w:rPr>
        <w:t xml:space="preserve">Months 1-4:</w:t>
      </w:r>
      <w:r>
        <w:t xml:space="preserve"> </w:t>
      </w:r>
      <w:r>
        <w:t xml:space="preserve">Institutional partnerships (Chicago Bankers Association, Federal Reserve Chicago), survey instrument finalization.</w:t>
      </w:r>
    </w:p>
    <w:p>
      <w:pPr>
        <w:numPr>
          <w:ilvl w:val="0"/>
          <w:numId w:val="1004"/>
        </w:numPr>
        <w:pStyle w:val="Compact"/>
      </w:pPr>
      <w:r>
        <w:rPr>
          <w:bCs/>
          <w:b/>
        </w:rPr>
        <w:t xml:space="preserve">Months 5-12:</w:t>
      </w:r>
      <w:r>
        <w:t xml:space="preserve"> </w:t>
      </w:r>
      <w:r>
        <w:t xml:space="preserve">Data collection in United States Chicago neighborhoods; initial geospatial mapping.</w:t>
      </w:r>
    </w:p>
    <w:p>
      <w:pPr>
        <w:numPr>
          <w:ilvl w:val="0"/>
          <w:numId w:val="1004"/>
        </w:numPr>
        <w:pStyle w:val="Compact"/>
      </w:pPr>
      <w:r>
        <w:rPr>
          <w:bCs/>
          <w:b/>
        </w:rPr>
        <w:t xml:space="preserve">Months 13-18:</w:t>
      </w:r>
      <w:r>
        <w:t xml:space="preserve"> </w:t>
      </w:r>
      <w:r>
        <w:t xml:space="preserve">Analysis, framework development, and stakeholder workshops with City officials and Banker networks.</w:t>
      </w:r>
    </w:p>
    <w:p>
      <w:pPr>
        <w:pStyle w:val="FirstParagraph"/>
      </w:pPr>
      <w:r>
        <w:t xml:space="preserve">Budget requests ($245K) cover researcher stipends (2 FTEs), Chicago-specific travel for fieldwork, data licensing for city datasets, and community engagement events. Crucially, 30% of funds will support compensation for Bankers participating in case studies—a recognition of their time as a professional asset within United States Chicago’s economic infrastructure.</w:t>
      </w:r>
    </w:p>
    <w:bookmarkEnd w:id="25"/>
    <w:bookmarkStart w:id="26" w:name="X66f445ff614fb1172060834ca0b0f494a1021cb"/>
    <w:p>
      <w:pPr>
        <w:pStyle w:val="Heading2"/>
      </w:pPr>
      <w:r>
        <w:t xml:space="preserve">Conclusion: Banking as Civic Infrastructure</w:t>
      </w:r>
    </w:p>
    <w:p>
      <w:pPr>
        <w:pStyle w:val="FirstParagraph"/>
      </w:pPr>
      <w:r>
        <w:t xml:space="preserve">In the United States Chicago landscape, the Banker is no longer merely a financial intermediary but an indispensable civic actor. This</w:t>
      </w:r>
      <w:r>
        <w:t xml:space="preserve"> </w:t>
      </w:r>
      <w:r>
        <w:rPr>
          <w:iCs/>
          <w:i/>
        </w:rPr>
        <w:t xml:space="preserve">Research Proposal</w:t>
      </w:r>
      <w:r>
        <w:t xml:space="preserve"> </w:t>
      </w:r>
      <w:r>
        <w:t xml:space="preserve">asserts that understanding how the Banker operates within Chicago’s unique blend of global finance and neighborhood-scale needs is fundamental to building an equitable economic future. By centering this role in our analysis—rather than treating it as a footnote to national banking trends—we offer a roadmap for transforming United States Chicago into a model of inclusive financial ecosystems where every community has access to the Banker who can help them thrive. The findings will empower not only bankers and policymakers, but also residents from Humboldt Park to Hyde Park, ensuring that in United States Chicago, banking serves as the engine of shared prosperity.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Chicago</dc:title>
  <dc:creator/>
  <dc:language>en</dc:language>
  <cp:keywords/>
  <dcterms:created xsi:type="dcterms:W3CDTF">2025-12-10T13:26:32Z</dcterms:created>
  <dcterms:modified xsi:type="dcterms:W3CDTF">2025-12-10T13:26:32Z</dcterms:modified>
</cp:coreProperties>
</file>

<file path=docProps/custom.xml><?xml version="1.0" encoding="utf-8"?>
<Properties xmlns="http://schemas.openxmlformats.org/officeDocument/2006/custom-properties" xmlns:vt="http://schemas.openxmlformats.org/officeDocument/2006/docPropsVTypes"/>
</file>